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Cs w:val="32"/>
          <w:lang w:eastAsia="zh-CN"/>
        </w:rPr>
        <w:t>7</w:t>
      </w:r>
    </w:p>
    <w:p>
      <w:pPr>
        <w:keepNext w:val="0"/>
        <w:keepLines w:val="0"/>
        <w:pageBreakBefore w:val="0"/>
        <w:widowControl w:val="0"/>
        <w:tabs>
          <w:tab w:val="left" w:pos="3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Cs/>
          <w:color w:val="auto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电竞赛事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申请报告</w:t>
      </w:r>
    </w:p>
    <w:bookmarkEnd w:id="0"/>
    <w:p>
      <w:pPr>
        <w:adjustRightInd w:val="0"/>
        <w:snapToGrid w:val="0"/>
        <w:spacing w:beforeLines="0" w:afterLines="0" w:line="540" w:lineRule="exact"/>
        <w:jc w:val="center"/>
        <w:rPr>
          <w:rFonts w:hint="eastAsia" w:ascii="楷体_GB2312" w:hAnsi="楷体_GB2312" w:eastAsia="楷体_GB2312" w:cs="楷体_GB2312"/>
          <w:b/>
          <w:color w:val="auto"/>
          <w:kern w:val="0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Cs w:val="32"/>
        </w:rPr>
        <w:t>（编制提纲）</w:t>
      </w:r>
    </w:p>
    <w:p>
      <w:pPr>
        <w:spacing w:beforeLines="0" w:afterLines="0" w:line="540" w:lineRule="exact"/>
        <w:ind w:firstLine="620" w:firstLineChars="200"/>
        <w:rPr>
          <w:rFonts w:hint="eastAsia" w:ascii="仿宋_GB2312" w:hAnsi="仿宋_GB2312" w:cs="仿宋_GB2312"/>
          <w:color w:val="auto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</w:rPr>
        <w:t>一、申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en-US" w:eastAsia="zh-CN"/>
        </w:rPr>
        <w:t>报单位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</w:rPr>
        <w:t>情况介绍</w:t>
      </w:r>
    </w:p>
    <w:p>
      <w:pPr>
        <w:spacing w:beforeLines="0" w:afterLines="0"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cs="仿宋_GB2312"/>
          <w:color w:val="auto"/>
        </w:rPr>
        <w:t>（一）</w:t>
      </w:r>
      <w:r>
        <w:rPr>
          <w:rFonts w:hint="eastAsia" w:ascii="仿宋_GB2312" w:hAnsi="仿宋_GB2312" w:cs="仿宋_GB2312"/>
          <w:color w:val="auto"/>
          <w:lang w:eastAsia="zh-CN"/>
        </w:rPr>
        <w:t>申报单位基本情况</w:t>
      </w:r>
    </w:p>
    <w:p>
      <w:pPr>
        <w:spacing w:beforeLines="0" w:afterLines="0" w:line="540" w:lineRule="exact"/>
        <w:ind w:firstLine="640" w:firstLineChars="200"/>
        <w:rPr>
          <w:rFonts w:hint="eastAsia" w:ascii="仿宋_GB2312" w:hAnsi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</w:rPr>
        <w:t>（</w:t>
      </w:r>
      <w:r>
        <w:rPr>
          <w:rFonts w:hint="eastAsia" w:ascii="仿宋_GB2312" w:hAnsi="仿宋_GB2312" w:cs="仿宋_GB2312"/>
          <w:color w:val="auto"/>
          <w:lang w:eastAsia="zh-CN"/>
        </w:rPr>
        <w:t>二</w:t>
      </w:r>
      <w:r>
        <w:rPr>
          <w:rFonts w:hint="eastAsia" w:ascii="仿宋_GB2312" w:hAnsi="仿宋_GB2312" w:cs="仿宋_GB2312"/>
          <w:color w:val="auto"/>
        </w:rPr>
        <w:t>）</w:t>
      </w:r>
      <w:r>
        <w:rPr>
          <w:rFonts w:hint="eastAsia" w:ascii="仿宋_GB2312" w:hAnsi="仿宋_GB2312" w:cs="仿宋_GB2312"/>
          <w:color w:val="auto"/>
          <w:lang w:eastAsia="zh-CN"/>
        </w:rPr>
        <w:t>2021年</w:t>
      </w:r>
      <w:r>
        <w:rPr>
          <w:rFonts w:hint="eastAsia" w:ascii="仿宋_GB2312" w:hAnsi="仿宋_GB2312" w:cs="仿宋_GB2312"/>
          <w:color w:val="auto"/>
          <w:lang w:val="en-US" w:eastAsia="zh-CN"/>
        </w:rPr>
        <w:t>单位</w:t>
      </w:r>
      <w:r>
        <w:rPr>
          <w:rFonts w:hint="eastAsia" w:ascii="仿宋_GB2312" w:hAnsi="仿宋_GB2312" w:cs="仿宋_GB2312"/>
          <w:color w:val="auto"/>
        </w:rPr>
        <w:t>主要经营指标</w:t>
      </w:r>
    </w:p>
    <w:p>
      <w:pPr>
        <w:spacing w:beforeLines="0" w:afterLines="0" w:line="540" w:lineRule="exact"/>
        <w:ind w:firstLine="640" w:firstLineChars="200"/>
        <w:rPr>
          <w:rFonts w:hint="eastAsia" w:ascii="仿宋_GB2312" w:hAnsi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</w:rPr>
        <w:t>（</w:t>
      </w:r>
      <w:r>
        <w:rPr>
          <w:rFonts w:hint="eastAsia" w:ascii="仿宋_GB2312" w:hAnsi="仿宋_GB2312" w:cs="仿宋_GB2312"/>
          <w:color w:val="auto"/>
          <w:lang w:eastAsia="zh-CN"/>
        </w:rPr>
        <w:t>三</w:t>
      </w:r>
      <w:r>
        <w:rPr>
          <w:rFonts w:hint="eastAsia" w:ascii="仿宋_GB2312" w:hAnsi="仿宋_GB2312" w:cs="仿宋_GB2312"/>
          <w:color w:val="auto"/>
        </w:rPr>
        <w:t>）相关获奖情况</w:t>
      </w:r>
    </w:p>
    <w:p>
      <w:pPr>
        <w:spacing w:beforeLines="0" w:afterLines="0"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项目相关情况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</w:rPr>
        <w:t>（一）</w:t>
      </w:r>
      <w:r>
        <w:rPr>
          <w:rFonts w:hint="eastAsia" w:ascii="仿宋_GB2312" w:hAnsi="仿宋_GB2312" w:cs="仿宋_GB2312"/>
          <w:color w:val="auto"/>
          <w:lang w:eastAsia="zh-CN"/>
        </w:rPr>
        <w:t>电竞赛事基本情况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cs="仿宋_GB2312"/>
          <w:color w:val="auto"/>
          <w:lang w:eastAsia="zh-CN"/>
        </w:rPr>
        <w:t>（二）电竞赛事级别和影响力自我评价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lang w:eastAsia="zh-CN"/>
        </w:rPr>
      </w:pPr>
      <w:r>
        <w:rPr>
          <w:rFonts w:hint="eastAsia" w:ascii="仿宋_GB2312" w:hAnsi="仿宋_GB2312" w:cs="仿宋_GB2312"/>
          <w:color w:val="auto"/>
        </w:rPr>
        <w:t>（</w:t>
      </w:r>
      <w:r>
        <w:rPr>
          <w:rFonts w:hint="eastAsia" w:ascii="仿宋_GB2312" w:hAnsi="仿宋_GB2312" w:cs="仿宋_GB2312"/>
          <w:color w:val="auto"/>
          <w:lang w:eastAsia="zh-CN"/>
        </w:rPr>
        <w:t>三</w:t>
      </w:r>
      <w:r>
        <w:rPr>
          <w:rFonts w:hint="eastAsia" w:ascii="仿宋_GB2312" w:hAnsi="仿宋_GB2312" w:cs="仿宋_GB2312"/>
          <w:color w:val="auto"/>
        </w:rPr>
        <w:t>）</w:t>
      </w:r>
      <w:r>
        <w:rPr>
          <w:rFonts w:hint="eastAsia" w:ascii="仿宋_GB2312" w:hAnsi="仿宋_GB2312" w:cs="仿宋_GB2312"/>
          <w:color w:val="auto"/>
          <w:lang w:eastAsia="zh-CN"/>
        </w:rPr>
        <w:t>电竞赛事举办对福建电竞产业发展意义及电竞上下游产业带动性，</w:t>
      </w:r>
      <w:r>
        <w:rPr>
          <w:rFonts w:hint="eastAsia" w:ascii="仿宋_GB2312" w:hAnsi="仿宋_GB2312" w:cs="仿宋_GB2312"/>
          <w:color w:val="auto"/>
        </w:rPr>
        <w:t>包括</w:t>
      </w:r>
      <w:r>
        <w:rPr>
          <w:rFonts w:hint="eastAsia" w:ascii="仿宋_GB2312" w:hAnsi="仿宋_GB2312" w:cs="仿宋_GB2312"/>
          <w:color w:val="auto"/>
          <w:lang w:eastAsia="zh-CN"/>
        </w:rPr>
        <w:t>服务人群、人才培养、产业促进、氛围营造等。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</w:rPr>
        <w:t>（</w:t>
      </w:r>
      <w:r>
        <w:rPr>
          <w:rFonts w:hint="eastAsia" w:ascii="仿宋_GB2312" w:hAnsi="仿宋_GB2312" w:cs="仿宋_GB2312"/>
          <w:color w:val="auto"/>
          <w:lang w:eastAsia="zh-CN"/>
        </w:rPr>
        <w:t>四</w:t>
      </w:r>
      <w:r>
        <w:rPr>
          <w:rFonts w:hint="eastAsia" w:ascii="仿宋_GB2312" w:hAnsi="仿宋_GB2312" w:cs="仿宋_GB2312"/>
          <w:color w:val="auto"/>
        </w:rPr>
        <w:t>）</w:t>
      </w:r>
      <w:r>
        <w:rPr>
          <w:rFonts w:hint="eastAsia" w:ascii="仿宋_GB2312" w:hAnsi="仿宋_GB2312" w:cs="仿宋_GB2312"/>
          <w:color w:val="auto"/>
          <w:lang w:eastAsia="zh-CN"/>
        </w:rPr>
        <w:t>电竞赛事下</w:t>
      </w:r>
      <w:r>
        <w:rPr>
          <w:rFonts w:hint="eastAsia" w:ascii="仿宋_GB2312" w:hAnsi="仿宋_GB2312" w:cs="仿宋_GB2312"/>
          <w:color w:val="auto"/>
          <w:lang w:val="en-US" w:eastAsia="zh-CN"/>
        </w:rPr>
        <w:t>一步</w:t>
      </w:r>
      <w:r>
        <w:rPr>
          <w:rFonts w:hint="eastAsia" w:ascii="仿宋_GB2312" w:hAnsi="仿宋_GB2312" w:cs="仿宋_GB2312"/>
          <w:color w:val="auto"/>
          <w:lang w:eastAsia="zh-CN"/>
        </w:rPr>
        <w:t>发展规划</w:t>
      </w:r>
      <w:r>
        <w:rPr>
          <w:rFonts w:hint="eastAsia" w:ascii="仿宋_GB2312" w:hAnsi="仿宋_GB2312" w:cs="仿宋_GB2312"/>
          <w:color w:val="auto"/>
        </w:rPr>
        <w:t>（包含但不限于技术升级、应用开发、商业模式拓展等）</w:t>
      </w:r>
    </w:p>
    <w:p>
      <w:pPr>
        <w:spacing w:beforeLines="0" w:afterLines="0"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其他</w:t>
      </w:r>
    </w:p>
    <w:p>
      <w:pPr>
        <w:spacing w:before="0" w:beforeLines="0" w:after="0" w:afterLines="0" w:line="540" w:lineRule="exact"/>
        <w:ind w:firstLine="640" w:firstLineChars="200"/>
        <w:rPr>
          <w:rFonts w:hint="eastAsia" w:ascii="仿宋_GB2312" w:hAnsi="仿宋_GB2312" w:cs="仿宋_GB2312"/>
          <w:color w:val="auto"/>
          <w:lang w:val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单位</w:t>
      </w:r>
      <w:r>
        <w:rPr>
          <w:rFonts w:hint="eastAsia" w:ascii="仿宋_GB2312" w:hAnsi="仿宋_GB2312" w:cs="仿宋_GB2312"/>
          <w:color w:val="auto"/>
          <w:lang w:val="zh-CN"/>
        </w:rPr>
        <w:t>需要说明的其他问题，并按照申报材料要求提供相关附件。</w:t>
      </w:r>
    </w:p>
    <w:p>
      <w:pPr>
        <w:spacing w:line="520" w:lineRule="exact"/>
        <w:rPr>
          <w:rFonts w:hint="eastAsia" w:ascii="仿宋_GB231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8" w:gutter="0"/>
          <w:pgNumType w:fmt="decimal"/>
          <w:cols w:space="720" w:num="1"/>
          <w:docGrid w:type="linesAndChars" w:linePitch="57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-37"/>
      <w:ind w:left="480" w:leftChars="150" w:right="480" w:rightChars="15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  </w:t>
    </w:r>
  </w:p>
  <w:p>
    <w:pPr>
      <w:pStyle w:val="3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MWI3YWJlNzFlZWZlM2I3NTA2OTEzYzU3ZjMyNGIifQ=="/>
  </w:docVars>
  <w:rsids>
    <w:rsidRoot w:val="137F49FE"/>
    <w:rsid w:val="137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2022-06-15T10:01:00Z</dcterms:created>
  <dc:creator>拓尔通</dc:creator>
  <cp:lastModifiedBy>拓尔通</cp:lastModifiedBy>
  <dcterms:modified xsi:type="dcterms:W3CDTF">2022-06-15T10:01:52Z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4591D20F051A430EBA1BD5A4987AEA9A</vt:lpwstr>
  </property>
</Properties>
</file>