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Cs w:val="32"/>
          <w:lang w:val="en-US" w:eastAsia="zh-CN"/>
        </w:rPr>
        <w:t>1</w:t>
      </w:r>
    </w:p>
    <w:p>
      <w:pPr>
        <w:pStyle w:val="4"/>
        <w:rPr>
          <w:rFonts w:hint="eastAsia" w:ascii="宋体" w:hAnsi="宋体" w:eastAsia="宋体" w:cs="宋体"/>
          <w:b w:val="0"/>
          <w:bCs/>
          <w:color w:val="auto"/>
          <w:szCs w:val="32"/>
          <w:lang w:val="en-US" w:eastAsia="zh-CN"/>
        </w:rPr>
      </w:pPr>
    </w:p>
    <w:p>
      <w:pPr>
        <w:pStyle w:val="3"/>
        <w:spacing w:before="100" w:after="10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福建省电竞场馆认定标准</w:t>
      </w:r>
    </w:p>
    <w:bookmarkEnd w:id="0"/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lang w:val="en-US" w:eastAsia="zh-CN"/>
        </w:rPr>
      </w:pPr>
    </w:p>
    <w:tbl>
      <w:tblPr>
        <w:tblStyle w:val="7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992"/>
        <w:gridCol w:w="1860"/>
        <w:gridCol w:w="166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5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ind w:firstLine="602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等级</w:t>
            </w: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ind w:firstLine="602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用途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建筑面积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ind w:firstLine="602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场馆容量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853" w:type="dxa"/>
            <w:vMerge w:val="continue"/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座位数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核载</w:t>
            </w:r>
          </w:p>
          <w:p>
            <w:pPr>
              <w:pStyle w:val="4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人数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A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类电竞场馆</w:t>
            </w:r>
          </w:p>
        </w:tc>
        <w:tc>
          <w:tcPr>
            <w:tcW w:w="199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举办国际水平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电竞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赛事活动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≧50000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≧5000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≧10000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类电竞场馆</w:t>
            </w:r>
          </w:p>
        </w:tc>
        <w:tc>
          <w:tcPr>
            <w:tcW w:w="199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可举办全国性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电竞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赛事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≧2000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≧200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≧500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WI3YWJlNzFlZWZlM2I3NTA2OTEzYzU3ZjMyNGIifQ=="/>
  </w:docVars>
  <w:rsids>
    <w:rsidRoot w:val="18165815"/>
    <w:rsid w:val="181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117</Characters>
  <Lines>0</Lines>
  <Paragraphs>0</Paragraphs>
  <TotalTime>0</TotalTime>
  <ScaleCrop>false</ScaleCrop>
  <LinksUpToDate>false</LinksUpToDate>
  <CharactersWithSpaces>117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2022-06-15T09:58:00Z</dcterms:created>
  <dc:creator>拓尔通</dc:creator>
  <cp:lastModifiedBy>拓尔通</cp:lastModifiedBy>
  <dcterms:modified xsi:type="dcterms:W3CDTF">2022-06-15T09:59:01Z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F96FC8C2ECA347CC8B1BC7E1538E990D</vt:lpwstr>
  </property>
</Properties>
</file>