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垃圾焚烧发电企业20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5—8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月垃圾发电上网电量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和常规能源发电上网电量核定表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4"/>
        <w:tblpPr w:leftFromText="180" w:rightFromText="180" w:vertAnchor="text" w:horzAnchor="margin" w:tblpXSpec="center" w:tblpY="168"/>
        <w:tblW w:w="137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897"/>
        <w:gridCol w:w="3480"/>
        <w:gridCol w:w="1853"/>
        <w:gridCol w:w="1744"/>
        <w:gridCol w:w="1636"/>
        <w:gridCol w:w="1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序号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电厂名称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核定项目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月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月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月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pacing w:val="0"/>
                <w:w w:val="88"/>
                <w:kern w:val="0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福州红庙岭垃圾焚烧电厂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51170.51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32952.85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45583.94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44995.63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1432.7743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922.6798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1276.3503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1259.8776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68.4417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16.3509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274.0841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257.2649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石狮市鸿峰环保生物工程有限公司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31283.00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30905.00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32696.48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36302.12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875.9240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865.3400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998.2168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933.7440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314.0200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263.3260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96.0932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88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page" w:tblpX="1619" w:tblpY="640"/>
        <w:tblW w:w="137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"/>
        <w:gridCol w:w="2895"/>
        <w:gridCol w:w="3483"/>
        <w:gridCol w:w="1812"/>
        <w:gridCol w:w="1777"/>
        <w:gridCol w:w="1636"/>
        <w:gridCol w:w="1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瀚蓝（福清）固废处理有限公司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31909.22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33984.8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34091.32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36785.08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893.4582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845.1360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954.5570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807.7560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131.2218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41.8630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瀚蓝（惠安）固废处理有限公司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47990.45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45005.35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43830.78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40606.98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1222.7160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1232.7040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1219.9000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1136.9954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131.7886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瀚蓝（晋江）固废处理有限公司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75631.42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72290.99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73184.48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74377.3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2117.6798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2024.1477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2049.1654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2082.5644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841.4082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1026.5483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1021.4186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781.2196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瀚蓝（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）固废处理有限公司（创冠建阳垃圾焚烧发电厂）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18713.18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4050.18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1911.99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9835.91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520.2190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66.6680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308.1890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瀚蓝（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）固废处理有限公司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（二期）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16590.67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25723.69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28256.17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21228.62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464.5388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720.2633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769.8600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594.4014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356.8972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57.8287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112.7946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瀚蓝（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）固废处理有限公司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46733.78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32145.03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31461.15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32184.72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1308.5458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900.0608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880.9122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901.1722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241.2662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706.1152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192.2478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112.7198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瀚蓝（漳州）固废处理有限公司（长富垃圾焚烧发电厂一期）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12933.08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15817.26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16523.02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0.4400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398.8600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462.6446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331.7754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瀚蓝（常山华侨经济开发区）固废处理有限公司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176370.80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42986.18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43044.00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47861.42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1408.7640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1300.9080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927.9480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1340.1198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19.6302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南安市圣元环保电力有限公司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26295.78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38965.61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40300.00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40300.00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848.7825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1091.0371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1128.4000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1128.4000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695.1774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244.7149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241.0560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290.9960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莆田市圣元环保电力有限公司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124814.96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109194.00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103379.99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110555.78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3416.2920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2967.3600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2894.6397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3095.5618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77.4723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238.6262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宁德漳湾垃圾焚烧发电有限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20049.98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19463.73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19742.39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20755.56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426.3320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364.2000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221.2400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441.9000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厦门市环境能源投资发展有限公司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翔安一期）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19945.82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18973.07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22730.67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18824.46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384.4680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398.6040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368.7480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317.2200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厦门市环境能源投资发展有限公司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翔安二期）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58879.42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53269.32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39024.36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55660.54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1648.6238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1491.5410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1092.6821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1558.4951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290.5882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358.5710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3.9739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575.4169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福州天楹环保能源有限公司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2343.85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52.2480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146.1840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福州天楹环保能源有限公司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（二期）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25201.30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24309.08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24289.52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14099.70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561.7760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573.4240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560.0440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314.3200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龙岩新东阳环保净化有限公司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22164.39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14666.93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20065.05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24797.91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620.6029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354.6270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617.8684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694.3415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45.0341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56.1476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0.2125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漳州环境再生能源有限公司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（一期）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34229.36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36283.61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39213.91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33624.25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881.9600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1092.4032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1097.9895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941.4790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16.8568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64.4705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41.8810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漳州环境再生能源有限公司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（二期）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36909.92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27404.59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22182.03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31059.33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1006.2500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767.3285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621.0968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869.6612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120.9215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20.1532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100.8388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厦门市环境能源投资发展有限公司（海沧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18412.64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12358.09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18635.24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8900.02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515.5539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346.0265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453.0400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249.2006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64.9461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112.6135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51.2194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厦门市环境能源投资发展有限公司（海沧二期）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24156.56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41356.97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37994.82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32564.32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676.3837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1157.9952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1063.8550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911.8010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243.6563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261.8848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353.4730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442.1670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漳州市圣元环保电力有限公司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39520.88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39254.13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37980.48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37038.40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1049.8530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1082.8230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1063.4534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1037.0752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47.3836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84.0308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保罗清洁能源（福州）有限公司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22457.57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25191.89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18852.19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18741.47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628.8120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705.3729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527.8613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524.7612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169.9971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61.4650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289.3076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273.5581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三明市金利亚环保科技投资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14601.60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14458.13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14821.21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14434.05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408.8448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404.8276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414.9939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404.1534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99.7952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34.0504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56.4001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47.5946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平潭北厝垃圾焚烧发电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24900.72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24118.35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27493.05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14440.28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561.1560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396.1440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441.3840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304.7160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福鼎市环境新能源有限公司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13704.27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13378.19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13998.16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14153.64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380.5822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342.7942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391.9485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340.8912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61.3151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仙游兴鸿环保电力有限公司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16876.94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16886.34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16378.50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17566.58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472.5543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111.0900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696.3600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491.8642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130.9857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112.3058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补核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18.3350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福建保罗环保能源有限公司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（红庙岭垃圾焚烧发电厂三期）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43815.28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48529.70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40553.42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33418.34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1226.8278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1358.83 16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1135.4958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935.7135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362.2631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184.4797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482.6409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668.6968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南平延鸿环保电力有限公司</w:t>
            </w: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13591.88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14338.81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14109.18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13644.52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380.5726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401.4867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375.0240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382.0466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139.8114 </w:t>
            </w:r>
          </w:p>
        </w:tc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78.5933 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106.4654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泉州市圣元环保电力有限公司（南安市生活垃圾焚烧发电厂提级改造工程)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175898.29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7496.91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7945.08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13549.27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774.6420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12.0780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420.2977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bottom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379.3796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197.5283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58.9924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光大绿色环保城乡再生能源（古田）有限公司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8741.98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8480.24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11089.02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11048.36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166.6050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149.9400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397.9993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233.9850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56.1107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光大绿色环保城乡再生能源（古田）有限公司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2021年1—4月）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入厂垃圾量（吨）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6121.78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9163.48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8768.38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9206.54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90.4350 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319.3050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257.7831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常规能源发电上网电量（万千瓦时）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0.0000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0"/>
                <w:w w:val="88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87.1269 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88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88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88"/>
          <w:kern w:val="0"/>
          <w:sz w:val="22"/>
          <w:szCs w:val="22"/>
          <w14:textFill>
            <w14:solidFill>
              <w14:schemeClr w14:val="tx1"/>
            </w14:solidFill>
          </w14:textFill>
        </w:rPr>
        <w:t>光大绿色环保城乡再生能源（古田）有限公司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88"/>
          <w:kern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88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2021年1月起。</w:t>
      </w:r>
    </w:p>
    <w:sectPr>
      <w:footerReference r:id="rId3" w:type="default"/>
      <w:pgSz w:w="16838" w:h="11906" w:orient="landscape"/>
      <w:pgMar w:top="1803" w:right="1417" w:bottom="1803" w:left="1417" w:header="851" w:footer="992" w:gutter="0"/>
      <w:paperSrc/>
      <w:pgNumType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猴嗨森体简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80" w:leftChars="150" w:right="480" w:rightChars="15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80" w:leftChars="150" w:right="480" w:rightChars="15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226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B7B43"/>
    <w:rsid w:val="02EB181B"/>
    <w:rsid w:val="0AAB58BB"/>
    <w:rsid w:val="18430821"/>
    <w:rsid w:val="1B5A18FF"/>
    <w:rsid w:val="1F091525"/>
    <w:rsid w:val="26F07F09"/>
    <w:rsid w:val="281D496C"/>
    <w:rsid w:val="347782B7"/>
    <w:rsid w:val="367C5017"/>
    <w:rsid w:val="39BC38B4"/>
    <w:rsid w:val="44F52CA5"/>
    <w:rsid w:val="56C419F3"/>
    <w:rsid w:val="5F882E16"/>
    <w:rsid w:val="67CF441F"/>
    <w:rsid w:val="6D285844"/>
    <w:rsid w:val="720B7B43"/>
    <w:rsid w:val="74FFC822"/>
    <w:rsid w:val="77680B28"/>
    <w:rsid w:val="D7FD2024"/>
    <w:rsid w:val="DF574D21"/>
    <w:rsid w:val="FEF5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2021-10-20T15:15:00Z</dcterms:created>
  <dc:creator>mao</dc:creator>
  <cp:lastModifiedBy>翁宇晖</cp:lastModifiedBy>
  <cp:lastPrinted>2021-11-05T16:59:05Z</cp:lastPrinted>
  <dcterms:modified xsi:type="dcterms:W3CDTF">2021-11-05T16:59:14Z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46B5D8FA3151462D985871D4418EBAD4</vt:lpwstr>
  </property>
</Properties>
</file>