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textAlignment w:val="top"/>
        <w:rPr>
          <w:rFonts w:hint="eastAsia" w:ascii="仿宋_GB2312"/>
          <w:szCs w:val="32"/>
        </w:rPr>
      </w:pPr>
    </w:p>
    <w:p>
      <w:pPr>
        <w:snapToGrid w:val="0"/>
        <w:spacing w:line="540" w:lineRule="exact"/>
        <w:textAlignment w:val="top"/>
        <w:rPr>
          <w:rFonts w:hint="eastAsia" w:ascii="仿宋_GB2312"/>
          <w:szCs w:val="32"/>
        </w:rPr>
      </w:pPr>
    </w:p>
    <w:p>
      <w:pPr>
        <w:snapToGrid w:val="0"/>
        <w:spacing w:line="540" w:lineRule="exact"/>
        <w:textAlignment w:val="top"/>
        <w:rPr>
          <w:rFonts w:hint="eastAsia" w:ascii="仿宋_GB2312"/>
          <w:szCs w:val="32"/>
        </w:rPr>
      </w:pPr>
    </w:p>
    <w:p>
      <w:pPr>
        <w:snapToGrid w:val="0"/>
        <w:spacing w:line="540" w:lineRule="exact"/>
        <w:textAlignment w:val="top"/>
        <w:rPr>
          <w:rFonts w:hint="eastAsia" w:ascii="仿宋_GB2312"/>
          <w:szCs w:val="32"/>
        </w:rPr>
      </w:pPr>
      <w:r>
        <mc:AlternateContent>
          <mc:Choice Requires="wps">
            <w:drawing>
              <wp:anchor distT="0" distB="0" distL="114300" distR="114300" simplePos="0" relativeHeight="251658240" behindDoc="0" locked="1" layoutInCell="1" allowOverlap="1">
                <wp:simplePos x="0" y="0"/>
                <wp:positionH relativeFrom="column">
                  <wp:posOffset>302895</wp:posOffset>
                </wp:positionH>
                <wp:positionV relativeFrom="page">
                  <wp:posOffset>2378075</wp:posOffset>
                </wp:positionV>
                <wp:extent cx="4857750" cy="7924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57750" cy="792480"/>
                        </a:xfrm>
                        <a:prstGeom prst="rect">
                          <a:avLst/>
                        </a:prstGeom>
                        <a:noFill/>
                        <a:ln w="9525">
                          <a:noFill/>
                        </a:ln>
                      </wps:spPr>
                      <wps:txbx>
                        <w:txbxContent>
                          <w:p>
                            <w:pPr>
                              <w:adjustRightInd w:val="0"/>
                              <w:snapToGrid w:val="0"/>
                              <w:spacing w:line="1140" w:lineRule="exact"/>
                              <w:jc w:val="distribute"/>
                              <w:rPr>
                                <w:color w:val="FF0000"/>
                                <w:w w:val="90"/>
                                <w:sz w:val="96"/>
                                <w:szCs w:val="96"/>
                              </w:rPr>
                            </w:pPr>
                            <w:r>
                              <w:rPr>
                                <w:rFonts w:hint="eastAsia" w:ascii="方正小标宋简体" w:eastAsia="方正小标宋简体"/>
                                <w:snapToGrid w:val="0"/>
                                <w:color w:val="FF0000"/>
                                <w:spacing w:val="10"/>
                                <w:w w:val="90"/>
                                <w:kern w:val="0"/>
                                <w:sz w:val="96"/>
                                <w:szCs w:val="96"/>
                              </w:rPr>
                              <w:t>福建省物价局文件</w:t>
                            </w:r>
                          </w:p>
                          <w:p>
                            <w:pPr>
                              <w:adjustRightInd w:val="0"/>
                              <w:snapToGrid w:val="0"/>
                              <w:spacing w:line="1140" w:lineRule="exact"/>
                              <w:jc w:val="distribute"/>
                              <w:rPr>
                                <w:color w:val="FF0000"/>
                              </w:rPr>
                            </w:pPr>
                          </w:p>
                        </w:txbxContent>
                      </wps:txbx>
                      <wps:bodyPr lIns="0" tIns="0" rIns="0" bIns="0" upright="1"/>
                    </wps:wsp>
                  </a:graphicData>
                </a:graphic>
              </wp:anchor>
            </w:drawing>
          </mc:Choice>
          <mc:Fallback>
            <w:pict>
              <v:shape id="_x0000_s1026" o:spid="_x0000_s1026" o:spt="202" type="#_x0000_t202" style="position:absolute;left:0pt;margin-left:23.85pt;margin-top:187.25pt;height:62.4pt;width:382.5pt;mso-position-vertical-relative:page;z-index:251658240;mso-width-relative:page;mso-height-relative:page;" filled="f" stroked="f" coordsize="21600,21600" o:gfxdata="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5V3rp3AAA&#10;AAoBAAAPAAAAAAAAAAEAIAAAACIAAABkcnMvZG93bnJldi54bWxQSwECFAAUAAAACACHTuJALZH3&#10;kKgBAAAtAwAADgAAAAAAAAABACAAAAArAQAAZHJzL2Uyb0RvYy54bWxQSwUGAAAAAAYABgBZAQAA&#10;RQUAAAAA&#10;">
                <v:path/>
                <v:fill on="f" focussize="0,0"/>
                <v:stroke on="f" color="#FF0000" imagealignshape="1"/>
                <v:imagedata o:title=""/>
                <o:lock v:ext="edit"/>
                <v:textbox inset="0mm,0mm,0mm,0mm">
                  <w:txbxContent>
                    <w:p>
                      <w:pPr>
                        <w:adjustRightInd w:val="0"/>
                        <w:snapToGrid w:val="0"/>
                        <w:spacing w:line="1140" w:lineRule="exact"/>
                        <w:jc w:val="distribute"/>
                        <w:rPr>
                          <w:color w:val="FF0000"/>
                          <w:w w:val="90"/>
                          <w:sz w:val="96"/>
                          <w:szCs w:val="96"/>
                        </w:rPr>
                      </w:pPr>
                      <w:r>
                        <w:rPr>
                          <w:rFonts w:hint="eastAsia" w:ascii="方正小标宋简体" w:eastAsia="方正小标宋简体"/>
                          <w:snapToGrid w:val="0"/>
                          <w:color w:val="FF0000"/>
                          <w:spacing w:val="10"/>
                          <w:w w:val="90"/>
                          <w:kern w:val="0"/>
                          <w:sz w:val="96"/>
                          <w:szCs w:val="96"/>
                        </w:rPr>
                        <w:t>福建省物价局文件</w:t>
                      </w:r>
                    </w:p>
                    <w:p>
                      <w:pPr>
                        <w:adjustRightInd w:val="0"/>
                        <w:snapToGrid w:val="0"/>
                        <w:spacing w:line="1140" w:lineRule="exact"/>
                        <w:jc w:val="distribute"/>
                        <w:rPr>
                          <w:color w:val="FF0000"/>
                        </w:rPr>
                      </w:pPr>
                    </w:p>
                  </w:txbxContent>
                </v:textbox>
                <w10:anchorlock/>
              </v:shape>
            </w:pict>
          </mc:Fallback>
        </mc:AlternateContent>
      </w:r>
    </w:p>
    <w:p>
      <w:pPr>
        <w:snapToGrid w:val="0"/>
        <w:spacing w:line="540" w:lineRule="exact"/>
        <w:textAlignment w:val="top"/>
        <w:rPr>
          <w:rFonts w:hint="eastAsia" w:ascii="仿宋_GB2312"/>
          <w:szCs w:val="32"/>
        </w:rPr>
      </w:pPr>
    </w:p>
    <w:p>
      <w:pPr>
        <w:snapToGrid w:val="0"/>
        <w:spacing w:line="540" w:lineRule="exact"/>
        <w:textAlignment w:val="top"/>
        <w:rPr>
          <w:rFonts w:hint="eastAsia" w:ascii="仿宋_GB2312"/>
          <w:szCs w:val="32"/>
        </w:rPr>
      </w:pPr>
    </w:p>
    <w:p>
      <w:pPr>
        <w:snapToGrid w:val="0"/>
        <w:spacing w:line="540" w:lineRule="exact"/>
        <w:textAlignment w:val="top"/>
        <w:rPr>
          <w:rFonts w:hint="eastAsia" w:ascii="仿宋_GB2312"/>
          <w:szCs w:val="32"/>
        </w:rPr>
      </w:pPr>
    </w:p>
    <w:p>
      <w:pPr>
        <w:snapToGrid w:val="0"/>
        <w:spacing w:before="156" w:beforeLines="50" w:line="540" w:lineRule="exact"/>
        <w:jc w:val="center"/>
        <w:textAlignment w:val="top"/>
        <w:rPr>
          <w:rFonts w:hint="eastAsia" w:ascii="仿宋_GB2312"/>
          <w:szCs w:val="32"/>
        </w:rPr>
      </w:pPr>
      <w:r>
        <w:rPr>
          <w:rFonts w:ascii="仿宋_GB2312"/>
          <w:szCs w:val="32"/>
        </w:rPr>
        <w:fldChar w:fldCharType="begin"/>
      </w:r>
      <w:r>
        <w:rPr>
          <w:rFonts w:ascii="仿宋_GB2312"/>
          <w:szCs w:val="32"/>
        </w:rPr>
        <w:instrText xml:space="preserve"> </w:instrText>
      </w:r>
      <w:r>
        <w:rPr>
          <w:rFonts w:hint="eastAsia" w:ascii="仿宋_GB2312"/>
          <w:szCs w:val="32"/>
        </w:rPr>
        <w:instrText xml:space="preserve">MERGEFIELD  文件字号  \* MERGEFORMAT</w:instrText>
      </w:r>
      <w:r>
        <w:rPr>
          <w:rFonts w:ascii="仿宋_GB2312"/>
          <w:szCs w:val="32"/>
        </w:rPr>
        <w:instrText xml:space="preserve"> </w:instrText>
      </w:r>
      <w:r>
        <w:rPr>
          <w:rFonts w:ascii="仿宋_GB2312"/>
          <w:szCs w:val="32"/>
        </w:rPr>
        <w:fldChar w:fldCharType="separate"/>
      </w:r>
      <w:r>
        <w:rPr>
          <w:rFonts w:hint="eastAsia" w:ascii="仿宋_GB2312"/>
          <w:szCs w:val="32"/>
        </w:rPr>
        <w:t>闽价通告〔2018〕32号</w:t>
      </w:r>
      <w:r>
        <w:rPr>
          <w:rFonts w:ascii="仿宋_GB2312"/>
          <w:szCs w:val="32"/>
        </w:rPr>
        <w:fldChar w:fldCharType="end"/>
      </w:r>
    </w:p>
    <w:p>
      <w:pPr>
        <w:snapToGrid w:val="0"/>
        <w:spacing w:line="720" w:lineRule="exact"/>
        <w:jc w:val="center"/>
        <w:textAlignment w:val="top"/>
        <w:rPr>
          <w:rFonts w:hint="eastAsia" w:ascii="仿宋_GB2312" w:hAnsi="宋体"/>
          <w:b/>
          <w:szCs w:val="31"/>
        </w:rPr>
      </w:pPr>
    </w:p>
    <w:p>
      <w:pPr>
        <w:snapToGrid w:val="0"/>
        <w:spacing w:line="600" w:lineRule="exact"/>
        <w:jc w:val="center"/>
        <w:textAlignment w:val="top"/>
        <w:rPr>
          <w:rFonts w:hint="eastAsia" w:ascii="方正小标宋简体" w:hAnsi="宋体" w:eastAsia="方正小标宋简体"/>
          <w:b/>
          <w:w w:val="96"/>
          <w:sz w:val="40"/>
          <w:szCs w:val="40"/>
        </w:rPr>
      </w:pPr>
      <w:r>
        <w:rPr>
          <w:rFonts w:hint="eastAsia" w:ascii="方正小标宋简体" w:hAnsi="宋体" w:eastAsia="方正小标宋简体"/>
          <w:b w:val="0"/>
          <w:w w:val="96"/>
          <w:sz w:val="44"/>
          <w:szCs w:val="44"/>
        </w:rPr>
        <w:t>福建省物价局 福建省司法厅关于进一步规范司法鉴定收费项目和收费标准的通告</w:t>
      </w:r>
    </w:p>
    <w:p>
      <w:pPr>
        <w:snapToGrid w:val="0"/>
        <w:spacing w:line="600" w:lineRule="exact"/>
        <w:jc w:val="center"/>
        <w:textAlignment w:val="top"/>
        <w:rPr>
          <w:rFonts w:hint="eastAsia" w:ascii="方正小标宋简体" w:hAnsi="宋体" w:eastAsia="方正小标宋简体"/>
          <w:b/>
          <w:sz w:val="40"/>
          <w:szCs w:val="40"/>
        </w:rPr>
      </w:pPr>
      <w:r>
        <w:rPr>
          <w:rFonts w:hint="eastAsia" w:ascii="方正小标宋简体" w:hAnsi="宋体" w:eastAsia="方正小标宋简体"/>
          <w:b/>
          <w:sz w:val="40"/>
          <w:szCs w:val="40"/>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4120515</wp:posOffset>
                </wp:positionV>
                <wp:extent cx="5615940" cy="0"/>
                <wp:effectExtent l="0" t="13970" r="3810" b="24130"/>
                <wp:wrapTopAndBottom/>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4.45pt;height:0pt;width:442.2pt;mso-position-vertical-relative:page;mso-wrap-distance-bottom:0pt;mso-wrap-distance-top:0pt;z-index:251659264;mso-width-relative:page;mso-height-relative:page;" filled="f" stroked="t" coordsize="21600,21600" o:gfxdata="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NoDx9UAAAAIAQAADwAAAAAA&#10;AAABACAAAAAiAAAAZHJzL2Rvd25yZXYueG1sUEsBAhQAFAAAAAgAh07iQJboDMndAQAAlwMAAA4A&#10;AAAAAAAAAQAgAAAAJAEAAGRycy9lMm9Eb2MueG1sUEsFBgAAAAAGAAYAWQEAAHMFAAAAAA==&#10;">
                <v:path arrowok="t"/>
                <v:fill on="f" focussize="0,0"/>
                <v:stroke weight="2.25pt" color="#FF0000"/>
                <v:imagedata o:title=""/>
                <o:lock v:ext="edit"/>
                <w10:wrap type="topAndBottom"/>
                <w10:anchorlock/>
              </v:line>
            </w:pict>
          </mc:Fallback>
        </mc:AlternateContent>
      </w:r>
    </w:p>
    <w:p>
      <w:pPr>
        <w:spacing w:line="640" w:lineRule="exact"/>
        <w:ind w:firstLine="636" w:firstLineChars="0"/>
        <w:textAlignment w:val="top"/>
        <w:rPr>
          <w:rFonts w:hint="eastAsia" w:ascii="仿宋_GB2312" w:hAnsi="宋体" w:cs="宋体"/>
          <w:kern w:val="0"/>
          <w:szCs w:val="32"/>
        </w:rPr>
      </w:pPr>
      <w:r>
        <w:rPr>
          <w:rFonts w:hint="eastAsia" w:ascii="仿宋_GB2312"/>
          <w:szCs w:val="32"/>
        </w:rPr>
        <w:t>为进一步规范司法鉴定收费行为</w:t>
      </w:r>
      <w:bookmarkStart w:id="0" w:name="_GoBack"/>
      <w:bookmarkEnd w:id="0"/>
      <w:r>
        <w:rPr>
          <w:rFonts w:hint="eastAsia" w:ascii="仿宋_GB2312"/>
          <w:szCs w:val="32"/>
        </w:rPr>
        <w:t>，维护司法鉴定当事人和司法鉴定机构的合法权益，</w:t>
      </w:r>
      <w:r>
        <w:rPr>
          <w:rFonts w:hint="eastAsia" w:ascii="仿宋_GB2312" w:hAnsi="宋体"/>
          <w:szCs w:val="32"/>
        </w:rPr>
        <w:t>根据</w:t>
      </w:r>
      <w:r>
        <w:rPr>
          <w:rFonts w:hint="eastAsia" w:ascii="仿宋_GB2312" w:hAnsi="宋体" w:cs="宋体"/>
          <w:color w:val="000000"/>
          <w:kern w:val="0"/>
          <w:szCs w:val="32"/>
        </w:rPr>
        <w:t>《福建省定价目录》等有关</w:t>
      </w:r>
      <w:r>
        <w:rPr>
          <w:rFonts w:hint="eastAsia" w:ascii="仿宋_GB2312" w:hAnsi="宋体" w:cs="宋体"/>
          <w:kern w:val="0"/>
          <w:szCs w:val="32"/>
        </w:rPr>
        <w:t>规定，现就进一步规范我省司法鉴定收费项目和收费标准的有关事项通告如下：</w:t>
      </w:r>
    </w:p>
    <w:p>
      <w:pPr>
        <w:spacing w:line="640" w:lineRule="exact"/>
        <w:ind w:firstLine="636" w:firstLineChars="200"/>
        <w:rPr>
          <w:rFonts w:hint="eastAsia" w:ascii="仿宋_GB2312" w:hAnsi="宋体" w:cs="宋体"/>
          <w:kern w:val="0"/>
          <w:szCs w:val="32"/>
        </w:rPr>
      </w:pPr>
      <w:r>
        <w:rPr>
          <w:rFonts w:hint="eastAsia" w:ascii="仿宋_GB2312" w:hAnsi="宋体" w:cs="宋体"/>
          <w:kern w:val="0"/>
          <w:szCs w:val="32"/>
        </w:rPr>
        <w:t>一、本通告所称司法鉴定收费，是指经省司法行政机关审核登记的司法鉴定机构在诉讼活动中依法接受委托，运用科学技术或专门知识对专门性问题进行鉴别和判断并提供鉴定意见，由司法鉴定机构向当事人收取服务费用的行为。</w:t>
      </w:r>
    </w:p>
    <w:p>
      <w:pPr>
        <w:spacing w:line="640" w:lineRule="exact"/>
        <w:ind w:firstLine="636" w:firstLineChars="200"/>
        <w:rPr>
          <w:rFonts w:hint="eastAsia" w:ascii="仿宋_GB2312" w:hAnsi="宋体" w:cs="宋体"/>
          <w:kern w:val="0"/>
          <w:szCs w:val="32"/>
        </w:rPr>
      </w:pPr>
      <w:r>
        <w:rPr>
          <w:rFonts w:hint="eastAsia" w:ascii="仿宋_GB2312" w:hAnsi="宋体" w:cs="宋体"/>
          <w:kern w:val="0"/>
          <w:szCs w:val="32"/>
        </w:rPr>
        <w:t>二、司法鉴定收费应遵循</w:t>
      </w:r>
      <w:r>
        <w:rPr>
          <w:rFonts w:hint="eastAsia" w:ascii="仿宋_GB2312" w:hAnsi="宋体" w:cs="宋体"/>
          <w:spacing w:val="2"/>
          <w:kern w:val="0"/>
          <w:szCs w:val="32"/>
        </w:rPr>
        <w:t>依法、合理、诚信、公开</w:t>
      </w:r>
      <w:r>
        <w:rPr>
          <w:rFonts w:hint="eastAsia" w:ascii="仿宋_GB2312" w:hAnsi="宋体" w:cs="宋体"/>
          <w:kern w:val="0"/>
          <w:szCs w:val="32"/>
        </w:rPr>
        <w:t>的原则，具体收费按照国家和我省司法鉴定收费管理办法有关规定执行。</w:t>
      </w:r>
    </w:p>
    <w:p>
      <w:pPr>
        <w:spacing w:line="640" w:lineRule="exact"/>
        <w:ind w:firstLine="636" w:firstLineChars="200"/>
        <w:rPr>
          <w:rFonts w:hint="eastAsia" w:ascii="仿宋_GB2312" w:hAnsi="宋体" w:cs="宋体"/>
          <w:spacing w:val="-4"/>
          <w:kern w:val="0"/>
          <w:szCs w:val="32"/>
        </w:rPr>
      </w:pPr>
      <w:r>
        <w:rPr>
          <w:rFonts w:hint="eastAsia" w:ascii="仿宋_GB2312" w:hAnsi="宋体" w:cs="宋体"/>
          <w:kern w:val="0"/>
          <w:szCs w:val="32"/>
        </w:rPr>
        <w:t>三、实行政府指导价管理的司法鉴定项目实行动态管理，具体的收费项目和标准详见附件，本通告规定的收费标准为最高上限标准。司法鉴定机构应根据工作量大小、难易程度、风险高低、当事人承受能力、案件涉案金额等实际情况在规定的范围内合理收费；对符合法律法规规定并经省司法行政机关审核许可、暂未列入附件的司法鉴定收费实行市</w:t>
      </w:r>
      <w:r>
        <w:rPr>
          <w:rFonts w:hint="eastAsia" w:ascii="仿宋_GB2312" w:hAnsi="宋体" w:cs="宋体"/>
          <w:spacing w:val="-4"/>
          <w:kern w:val="0"/>
          <w:szCs w:val="32"/>
        </w:rPr>
        <w:t>场调节价，由司法鉴定机构与当事人协商确定具体收费标准。</w:t>
      </w:r>
    </w:p>
    <w:p>
      <w:pPr>
        <w:spacing w:line="640" w:lineRule="exact"/>
        <w:ind w:firstLine="636" w:firstLineChars="200"/>
        <w:rPr>
          <w:rFonts w:hint="eastAsia" w:ascii="仿宋_GB2312" w:hAnsi="宋体" w:cs="宋体"/>
          <w:szCs w:val="32"/>
        </w:rPr>
      </w:pPr>
      <w:r>
        <w:rPr>
          <w:rFonts w:hint="eastAsia" w:ascii="仿宋_GB2312" w:hAnsi="宋体" w:cs="宋体"/>
          <w:kern w:val="0"/>
          <w:szCs w:val="32"/>
        </w:rPr>
        <w:t>四、</w:t>
      </w:r>
      <w:r>
        <w:rPr>
          <w:rFonts w:hint="eastAsia" w:ascii="仿宋_GB2312"/>
          <w:szCs w:val="32"/>
        </w:rPr>
        <w:t>司法鉴定机构应按照</w:t>
      </w:r>
      <w:r>
        <w:rPr>
          <w:rFonts w:hint="eastAsia" w:ascii="仿宋_GB2312" w:hAnsi="宋体" w:cs="宋体"/>
          <w:bCs/>
          <w:kern w:val="0"/>
          <w:szCs w:val="32"/>
        </w:rPr>
        <w:t>《福建省物价局 福建省经济和信息化委员会关于取消经营服务性收费证制度加强事中事后监管的通知》（闽价服</w:t>
      </w:r>
      <w:r>
        <w:rPr>
          <w:rFonts w:hint="eastAsia" w:ascii="仿宋_GB2312" w:cs="黑体"/>
          <w:kern w:val="0"/>
          <w:szCs w:val="32"/>
        </w:rPr>
        <w:t>〔2015〕118号</w:t>
      </w:r>
      <w:r>
        <w:rPr>
          <w:rFonts w:hint="eastAsia" w:ascii="仿宋_GB2312" w:hAnsi="宋体" w:cs="宋体"/>
          <w:bCs/>
          <w:kern w:val="0"/>
          <w:szCs w:val="32"/>
        </w:rPr>
        <w:t>）的有关规定，于每年4月底前将单位基本情况、收费标准执行情况、财务收支状况等相关资料报送当地价格主管部门和司法行政部门，严格落实收费单位情况报告制度</w:t>
      </w:r>
      <w:r>
        <w:rPr>
          <w:rFonts w:hint="eastAsia" w:ascii="仿宋_GB2312" w:hAnsi="宋体" w:cs="宋体"/>
          <w:szCs w:val="32"/>
        </w:rPr>
        <w:t>。</w:t>
      </w:r>
    </w:p>
    <w:p>
      <w:pPr>
        <w:spacing w:line="640" w:lineRule="exact"/>
        <w:ind w:firstLine="636" w:firstLineChars="200"/>
        <w:rPr>
          <w:rFonts w:hint="eastAsia" w:ascii="仿宋_GB2312"/>
          <w:szCs w:val="32"/>
        </w:rPr>
      </w:pPr>
      <w:r>
        <w:rPr>
          <w:rFonts w:hint="eastAsia" w:ascii="仿宋_GB2312"/>
          <w:szCs w:val="32"/>
        </w:rPr>
        <w:t>五、司法鉴定机构应严格执行明码标价制度，按规定在收费地点的醒目位置，公示司法鉴定收费项目、服务内容、收费标准、收费依据、12358价格监督投诉电话等内容，实行阳光收费，</w:t>
      </w:r>
      <w:r>
        <w:rPr>
          <w:rFonts w:hint="eastAsia" w:ascii="仿宋_GB2312" w:hAnsi="宋体" w:cs="宋体"/>
          <w:szCs w:val="32"/>
        </w:rPr>
        <w:t>自觉接受价格、审计、税务等部门和社会的监督</w:t>
      </w:r>
      <w:r>
        <w:rPr>
          <w:rFonts w:hint="eastAsia" w:ascii="仿宋_GB2312" w:hAnsi="宋体" w:cs="宋体"/>
          <w:bCs/>
          <w:kern w:val="0"/>
          <w:szCs w:val="32"/>
        </w:rPr>
        <w:t>。</w:t>
      </w:r>
    </w:p>
    <w:p>
      <w:pPr>
        <w:spacing w:line="640" w:lineRule="exact"/>
        <w:ind w:firstLine="636" w:firstLineChars="200"/>
        <w:rPr>
          <w:rFonts w:hint="eastAsia" w:ascii="仿宋_GB2312" w:hAnsi="_4eff_5b8b_GB2312" w:cs="宋体"/>
          <w:kern w:val="0"/>
          <w:szCs w:val="32"/>
        </w:rPr>
      </w:pPr>
      <w:r>
        <w:rPr>
          <w:rFonts w:hint="eastAsia" w:ascii="仿宋_GB2312"/>
          <w:szCs w:val="32"/>
        </w:rPr>
        <w:t>六、本通告自2018年10月15日起执行，</w:t>
      </w:r>
      <w:r>
        <w:rPr>
          <w:rFonts w:hint="eastAsia" w:ascii="仿宋_GB2312" w:hAnsi="_4eff_5b8b_GB2312" w:cs="宋体"/>
          <w:kern w:val="0"/>
          <w:szCs w:val="32"/>
        </w:rPr>
        <w:t>《福建省物价局 福建省司法厅关于重新规范司法鉴定收费项目和收费标准的通知》（闽价服〔2016〕280号）同时废止。</w:t>
      </w:r>
    </w:p>
    <w:p>
      <w:pPr>
        <w:spacing w:line="640" w:lineRule="exact"/>
        <w:ind w:firstLine="636" w:firstLineChars="200"/>
        <w:rPr>
          <w:rFonts w:hint="eastAsia" w:ascii="仿宋_GB2312" w:hAnsi="_4eff_5b8b_GB2312" w:cs="宋体"/>
          <w:kern w:val="0"/>
          <w:szCs w:val="32"/>
        </w:rPr>
      </w:pPr>
    </w:p>
    <w:p>
      <w:pPr>
        <w:spacing w:line="640" w:lineRule="exact"/>
        <w:ind w:firstLine="636" w:firstLineChars="200"/>
        <w:rPr>
          <w:rFonts w:hint="eastAsia" w:ascii="仿宋_GB2312" w:hAnsi="_4eff_5b8b_GB2312" w:cs="宋体"/>
          <w:kern w:val="0"/>
          <w:szCs w:val="32"/>
        </w:rPr>
      </w:pPr>
      <w:r>
        <w:rPr>
          <w:rFonts w:hint="eastAsia" w:ascii="仿宋_GB2312" w:hAnsi="_4eff_5b8b_GB2312" w:cs="宋体"/>
          <w:kern w:val="0"/>
          <w:szCs w:val="32"/>
        </w:rPr>
        <w:t>附件：福建省司法鉴定收费项目和收费标准表</w:t>
      </w:r>
    </w:p>
    <w:p>
      <w:pPr>
        <w:spacing w:line="540" w:lineRule="exact"/>
        <w:ind w:firstLine="636" w:firstLineChars="200"/>
        <w:rPr>
          <w:rFonts w:hint="eastAsia" w:ascii="仿宋_GB2312" w:hAnsi="_4eff_5b8b_GB2312" w:cs="宋体"/>
          <w:kern w:val="0"/>
          <w:szCs w:val="32"/>
        </w:rPr>
      </w:pPr>
    </w:p>
    <w:p>
      <w:pPr>
        <w:spacing w:line="540" w:lineRule="exact"/>
        <w:ind w:firstLine="636" w:firstLineChars="200"/>
        <w:rPr>
          <w:rFonts w:hint="eastAsia" w:ascii="仿宋_GB2312" w:hAnsi="_4eff_5b8b_GB2312" w:cs="宋体"/>
          <w:kern w:val="0"/>
          <w:szCs w:val="32"/>
        </w:rPr>
      </w:pPr>
    </w:p>
    <w:p>
      <w:pPr>
        <w:spacing w:line="540" w:lineRule="exact"/>
        <w:ind w:firstLine="636" w:firstLineChars="200"/>
        <w:rPr>
          <w:rFonts w:hint="eastAsia" w:ascii="仿宋_GB2312" w:hAnsi="_4eff_5b8b_GB2312" w:cs="宋体"/>
          <w:kern w:val="0"/>
          <w:szCs w:val="32"/>
        </w:rPr>
      </w:pPr>
    </w:p>
    <w:p>
      <w:pPr>
        <w:spacing w:line="540" w:lineRule="exact"/>
        <w:ind w:firstLine="636" w:firstLineChars="200"/>
        <w:rPr>
          <w:rFonts w:hint="eastAsia" w:ascii="仿宋_GB2312" w:hAnsi="_4eff_5b8b_GB2312" w:cs="宋体"/>
          <w:kern w:val="0"/>
          <w:szCs w:val="32"/>
        </w:rPr>
      </w:pPr>
    </w:p>
    <w:p>
      <w:pPr>
        <w:spacing w:line="560" w:lineRule="exact"/>
        <w:jc w:val="center"/>
        <w:rPr>
          <w:rFonts w:hint="eastAsia" w:ascii="仿宋_GB2312" w:hAnsi="_4eff_5b8b_GB2312" w:cs="宋体"/>
          <w:kern w:val="0"/>
          <w:szCs w:val="32"/>
        </w:rPr>
      </w:pPr>
      <w:r>
        <w:rPr>
          <w:rFonts w:hint="eastAsia" w:ascii="仿宋_GB2312" w:hAnsi="_4eff_5b8b_GB2312" w:cs="宋体"/>
          <w:kern w:val="0"/>
          <w:szCs w:val="32"/>
        </w:rPr>
        <w:t>福建省物价局                 福建省司法厅</w:t>
      </w:r>
    </w:p>
    <w:p>
      <w:pPr>
        <w:spacing w:line="200" w:lineRule="exact"/>
        <w:ind w:firstLine="5724" w:firstLineChars="180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r>
        <w:rPr>
          <w:rFonts w:hint="eastAsia" w:ascii="仿宋_GB2312" w:hAnsi="_4eff_5b8b_GB2312" w:cs="宋体"/>
          <w:kern w:val="0"/>
          <w:szCs w:val="32"/>
        </w:rPr>
        <w:t xml:space="preserve">                                  2018年9月28日</w:t>
      </w:r>
    </w:p>
    <w:p>
      <w:pPr>
        <w:spacing w:line="560" w:lineRule="exact"/>
        <w:ind w:firstLine="0" w:firstLineChars="0"/>
        <w:rPr>
          <w:rFonts w:hint="eastAsia" w:ascii="仿宋_GB2312" w:hAnsi="_4eff_5b8b_GB2312" w:cs="宋体"/>
          <w:kern w:val="0"/>
          <w:szCs w:val="32"/>
        </w:rPr>
      </w:pPr>
    </w:p>
    <w:p>
      <w:pPr>
        <w:spacing w:line="560" w:lineRule="exact"/>
        <w:ind w:firstLine="636" w:firstLineChars="200"/>
        <w:rPr>
          <w:rFonts w:hint="eastAsia" w:ascii="仿宋_GB2312" w:hAnsi="_4eff_5b8b_GB2312" w:cs="宋体"/>
          <w:kern w:val="0"/>
          <w:szCs w:val="32"/>
        </w:rPr>
      </w:pPr>
      <w:r>
        <w:rPr>
          <w:rFonts w:hint="eastAsia" w:ascii="仿宋_GB2312" w:hAnsi="_4eff_5b8b_GB2312" w:cs="宋体"/>
          <w:kern w:val="0"/>
          <w:szCs w:val="32"/>
        </w:rPr>
        <w:t>（此件主动公开）</w:t>
      </w: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spacing w:line="560" w:lineRule="exact"/>
        <w:ind w:firstLine="0" w:firstLineChars="0"/>
        <w:rPr>
          <w:rFonts w:hint="eastAsia" w:ascii="仿宋_GB2312" w:hAnsi="_4eff_5b8b_GB2312" w:cs="宋体"/>
          <w:kern w:val="0"/>
          <w:szCs w:val="32"/>
        </w:rPr>
      </w:pPr>
    </w:p>
    <w:p>
      <w:pPr>
        <w:widowControl/>
        <w:shd w:val="clear" w:color="auto" w:fill="FFFFFF"/>
        <w:spacing w:line="590" w:lineRule="exact"/>
        <w:rPr>
          <w:rFonts w:hint="eastAsia" w:ascii="黑体" w:hAnsi="黑体" w:eastAsia="黑体" w:cs="宋体"/>
          <w:spacing w:val="-4"/>
          <w:w w:val="94"/>
          <w:kern w:val="0"/>
          <w:szCs w:val="32"/>
        </w:rPr>
      </w:pPr>
      <w:r>
        <w:rPr>
          <w:rFonts w:hint="eastAsia" w:ascii="黑体" w:hAnsi="黑体" w:eastAsia="黑体" w:cs="宋体"/>
          <w:spacing w:val="-4"/>
          <w:w w:val="94"/>
          <w:kern w:val="0"/>
          <w:szCs w:val="32"/>
        </w:rPr>
        <w:t>附件</w:t>
      </w:r>
    </w:p>
    <w:p>
      <w:pPr>
        <w:widowControl/>
        <w:shd w:val="clear" w:color="auto" w:fill="FFFFFF"/>
        <w:spacing w:line="200" w:lineRule="exact"/>
        <w:rPr>
          <w:rFonts w:hint="eastAsia" w:ascii="黑体" w:hAnsi="宋体" w:eastAsia="黑体" w:cs="宋体"/>
          <w:kern w:val="0"/>
          <w:sz w:val="31"/>
          <w:szCs w:val="31"/>
        </w:rPr>
      </w:pPr>
    </w:p>
    <w:tbl>
      <w:tblPr>
        <w:tblStyle w:val="6"/>
        <w:tblW w:w="9864" w:type="dxa"/>
        <w:jc w:val="center"/>
        <w:tblInd w:w="93" w:type="dxa"/>
        <w:tblLayout w:type="fixed"/>
        <w:tblCellMar>
          <w:top w:w="0" w:type="dxa"/>
          <w:left w:w="108" w:type="dxa"/>
          <w:bottom w:w="0" w:type="dxa"/>
          <w:right w:w="108" w:type="dxa"/>
        </w:tblCellMar>
      </w:tblPr>
      <w:tblGrid>
        <w:gridCol w:w="515"/>
        <w:gridCol w:w="1290"/>
        <w:gridCol w:w="843"/>
        <w:gridCol w:w="1036"/>
        <w:gridCol w:w="3024"/>
        <w:gridCol w:w="3156"/>
      </w:tblGrid>
      <w:tr>
        <w:tblPrEx>
          <w:tblLayout w:type="fixed"/>
          <w:tblCellMar>
            <w:top w:w="0" w:type="dxa"/>
            <w:left w:w="108" w:type="dxa"/>
            <w:bottom w:w="0" w:type="dxa"/>
            <w:right w:w="108" w:type="dxa"/>
          </w:tblCellMar>
        </w:tblPrEx>
        <w:trPr>
          <w:trHeight w:val="137" w:hRule="atLeast"/>
          <w:jc w:val="center"/>
        </w:trPr>
        <w:tc>
          <w:tcPr>
            <w:tcW w:w="9864" w:type="dxa"/>
            <w:gridSpan w:val="6"/>
            <w:tcBorders>
              <w:top w:val="nil"/>
              <w:left w:val="nil"/>
              <w:bottom w:val="nil"/>
              <w:right w:val="nil"/>
            </w:tcBorders>
            <w:vAlign w:val="center"/>
          </w:tcPr>
          <w:p>
            <w:pPr>
              <w:widowControl/>
              <w:jc w:val="center"/>
              <w:rPr>
                <w:rFonts w:hint="eastAsia" w:ascii="方正小标宋简体" w:hAnsi="宋体" w:eastAsia="方正小标宋简体" w:cs="宋体"/>
                <w:spacing w:val="-4"/>
                <w:w w:val="92"/>
                <w:kern w:val="0"/>
                <w:sz w:val="40"/>
                <w:szCs w:val="40"/>
              </w:rPr>
            </w:pPr>
            <w:r>
              <w:rPr>
                <w:rFonts w:hint="eastAsia" w:ascii="方正小标宋简体" w:hAnsi="宋体" w:eastAsia="方正小标宋简体" w:cs="宋体"/>
                <w:spacing w:val="-4"/>
                <w:w w:val="92"/>
                <w:kern w:val="0"/>
                <w:sz w:val="40"/>
                <w:szCs w:val="40"/>
              </w:rPr>
              <w:t>福建省司法鉴定收费项目和收费标准表</w:t>
            </w:r>
          </w:p>
          <w:p>
            <w:pPr>
              <w:widowControl/>
              <w:jc w:val="center"/>
              <w:rPr>
                <w:rFonts w:ascii="方正小标宋简体" w:hAnsi="宋体" w:eastAsia="方正小标宋简体" w:cs="宋体"/>
                <w:spacing w:val="-4"/>
                <w:w w:val="92"/>
                <w:kern w:val="0"/>
                <w:sz w:val="40"/>
                <w:szCs w:val="40"/>
              </w:rPr>
            </w:pPr>
          </w:p>
        </w:tc>
      </w:tr>
      <w:tr>
        <w:tblPrEx>
          <w:tblLayout w:type="fixed"/>
          <w:tblCellMar>
            <w:top w:w="0" w:type="dxa"/>
            <w:left w:w="108" w:type="dxa"/>
            <w:bottom w:w="0" w:type="dxa"/>
            <w:right w:w="108" w:type="dxa"/>
          </w:tblCellMar>
        </w:tblPrEx>
        <w:trPr>
          <w:trHeight w:val="109" w:hRule="atLeast"/>
          <w:jc w:val="center"/>
        </w:trPr>
        <w:tc>
          <w:tcPr>
            <w:tcW w:w="2648" w:type="dxa"/>
            <w:gridSpan w:val="3"/>
            <w:tcBorders>
              <w:top w:val="nil"/>
              <w:left w:val="nil"/>
              <w:bottom w:val="nil"/>
              <w:right w:val="nil"/>
            </w:tcBorders>
            <w:vAlign w:val="center"/>
          </w:tcPr>
          <w:p>
            <w:pPr>
              <w:widowControl/>
              <w:jc w:val="left"/>
              <w:rPr>
                <w:rFonts w:ascii="黑体" w:hAnsi="黑体" w:eastAsia="黑体" w:cs="宋体"/>
                <w:kern w:val="0"/>
                <w:sz w:val="28"/>
                <w:szCs w:val="28"/>
              </w:rPr>
            </w:pPr>
            <w:r>
              <w:rPr>
                <w:rFonts w:hint="eastAsia" w:ascii="黑体" w:hAnsi="黑体" w:eastAsia="黑体" w:cs="宋体"/>
                <w:kern w:val="0"/>
                <w:sz w:val="28"/>
                <w:szCs w:val="28"/>
              </w:rPr>
              <w:t>一、法医类</w:t>
            </w:r>
          </w:p>
        </w:tc>
        <w:tc>
          <w:tcPr>
            <w:tcW w:w="1036" w:type="dxa"/>
            <w:tcBorders>
              <w:top w:val="nil"/>
              <w:left w:val="nil"/>
              <w:bottom w:val="nil"/>
              <w:right w:val="nil"/>
            </w:tcBorders>
            <w:vAlign w:val="center"/>
          </w:tcPr>
          <w:p>
            <w:pPr>
              <w:widowControl/>
              <w:jc w:val="left"/>
              <w:rPr>
                <w:rFonts w:ascii="仿宋_GB2312" w:hAnsi="宋体" w:cs="宋体"/>
                <w:kern w:val="0"/>
                <w:sz w:val="24"/>
              </w:rPr>
            </w:pPr>
          </w:p>
        </w:tc>
        <w:tc>
          <w:tcPr>
            <w:tcW w:w="3024" w:type="dxa"/>
            <w:tcBorders>
              <w:top w:val="nil"/>
              <w:left w:val="nil"/>
              <w:bottom w:val="nil"/>
              <w:right w:val="nil"/>
            </w:tcBorders>
            <w:vAlign w:val="center"/>
          </w:tcPr>
          <w:p>
            <w:pPr>
              <w:widowControl/>
              <w:jc w:val="left"/>
              <w:rPr>
                <w:rFonts w:ascii="仿宋_GB2312" w:hAnsi="宋体" w:cs="宋体"/>
                <w:kern w:val="0"/>
                <w:sz w:val="24"/>
              </w:rPr>
            </w:pPr>
          </w:p>
        </w:tc>
        <w:tc>
          <w:tcPr>
            <w:tcW w:w="3156" w:type="dxa"/>
            <w:tcBorders>
              <w:top w:val="nil"/>
              <w:left w:val="nil"/>
              <w:bottom w:val="nil"/>
              <w:right w:val="nil"/>
            </w:tcBorders>
            <w:vAlign w:val="center"/>
          </w:tcPr>
          <w:p>
            <w:pPr>
              <w:widowControl/>
              <w:jc w:val="center"/>
              <w:rPr>
                <w:rFonts w:ascii="仿宋_GB2312" w:hAnsi="宋体" w:cs="宋体"/>
                <w:kern w:val="0"/>
                <w:sz w:val="24"/>
              </w:rPr>
            </w:pPr>
          </w:p>
        </w:tc>
      </w:tr>
      <w:tr>
        <w:tblPrEx>
          <w:tblLayout w:type="fixed"/>
          <w:tblCellMar>
            <w:top w:w="0" w:type="dxa"/>
            <w:left w:w="108" w:type="dxa"/>
            <w:bottom w:w="0" w:type="dxa"/>
            <w:right w:w="108" w:type="dxa"/>
          </w:tblCellMar>
        </w:tblPrEx>
        <w:trPr>
          <w:trHeight w:val="109" w:hRule="atLeast"/>
          <w:jc w:val="center"/>
        </w:trPr>
        <w:tc>
          <w:tcPr>
            <w:tcW w:w="9864" w:type="dxa"/>
            <w:gridSpan w:val="6"/>
            <w:tcBorders>
              <w:top w:val="nil"/>
              <w:left w:val="nil"/>
              <w:bottom w:val="single" w:color="auto" w:sz="4" w:space="0"/>
              <w:right w:val="nil"/>
            </w:tcBorders>
            <w:vAlign w:val="center"/>
          </w:tcPr>
          <w:p>
            <w:pPr>
              <w:widowControl/>
              <w:spacing w:line="360" w:lineRule="exact"/>
              <w:jc w:val="both"/>
              <w:rPr>
                <w:rFonts w:ascii="宋体" w:hAnsi="宋体" w:eastAsia="宋体" w:cs="宋体"/>
                <w:kern w:val="0"/>
                <w:sz w:val="24"/>
              </w:rPr>
            </w:pPr>
            <w:r>
              <w:rPr>
                <w:rFonts w:hint="eastAsia" w:ascii="宋体" w:hAnsi="宋体" w:eastAsia="宋体" w:cs="宋体"/>
                <w:kern w:val="0"/>
                <w:sz w:val="24"/>
              </w:rPr>
              <w:t>（一）法医病理鉴定项目（11项）</w:t>
            </w: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19"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早期尸表检验</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具</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对死亡24小时（含24小时）以内的尸体进行法医学尸体外表检验。含照相、录像。　</w:t>
            </w:r>
          </w:p>
        </w:tc>
      </w:tr>
      <w:tr>
        <w:tblPrEx>
          <w:tblLayout w:type="fixed"/>
          <w:tblCellMar>
            <w:top w:w="0" w:type="dxa"/>
            <w:left w:w="108" w:type="dxa"/>
            <w:bottom w:w="0" w:type="dxa"/>
            <w:right w:w="108" w:type="dxa"/>
          </w:tblCellMar>
        </w:tblPrEx>
        <w:trPr>
          <w:trHeight w:val="11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晚期尸表检验</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具</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1200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对死亡24小时以上的尸体进行法医学尸体外表检验。含照相、录像。　</w:t>
            </w:r>
          </w:p>
        </w:tc>
      </w:tr>
      <w:tr>
        <w:tblPrEx>
          <w:tblLayout w:type="fixed"/>
          <w:tblCellMar>
            <w:top w:w="0" w:type="dxa"/>
            <w:left w:w="108" w:type="dxa"/>
            <w:bottom w:w="0" w:type="dxa"/>
            <w:right w:w="108" w:type="dxa"/>
          </w:tblCellMar>
        </w:tblPrEx>
        <w:trPr>
          <w:trHeight w:val="20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早期尸体常规解剖</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具</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对死亡24小时以内（含24小时）的尸体进行常规法医学尸体解剖检验。尸体常规解剖的主要内容包括尸表检验，颅腔、胸腔、腹腔剖验，根据案件需要提取常规毒化检材等。含照相、录像。　</w:t>
            </w:r>
          </w:p>
        </w:tc>
      </w:tr>
      <w:tr>
        <w:tblPrEx>
          <w:tblLayout w:type="fixed"/>
          <w:tblCellMar>
            <w:top w:w="0" w:type="dxa"/>
            <w:left w:w="108" w:type="dxa"/>
            <w:bottom w:w="0" w:type="dxa"/>
            <w:right w:w="108" w:type="dxa"/>
          </w:tblCellMar>
        </w:tblPrEx>
        <w:trPr>
          <w:trHeight w:val="20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晚期尸体常规解剖</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具</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4500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对死亡24小时以上的尸体进行常规法医学尸体解剖检验。尸体常规解剖的主要内容包括尸表检验，颅腔、胸腔、腹腔剖验，根据案件需要提取常规毒化检材等。含照相、录像。　</w:t>
            </w:r>
          </w:p>
        </w:tc>
      </w:tr>
      <w:tr>
        <w:tblPrEx>
          <w:tblLayout w:type="fixed"/>
          <w:tblCellMar>
            <w:top w:w="0" w:type="dxa"/>
            <w:left w:w="108" w:type="dxa"/>
            <w:bottom w:w="0" w:type="dxa"/>
            <w:right w:w="108" w:type="dxa"/>
          </w:tblCellMar>
        </w:tblPrEx>
        <w:trPr>
          <w:trHeight w:val="17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特殊尸体解剖</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具</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6000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对特殊尸体进行法医学尸体解剖检验。特殊尸体包括高度腐败尸体、烈性传染病尸体、尸体发掘、碎尸等。含照相、录像。　</w:t>
            </w:r>
          </w:p>
        </w:tc>
      </w:tr>
      <w:tr>
        <w:tblPrEx>
          <w:tblLayout w:type="fixed"/>
          <w:tblCellMar>
            <w:top w:w="0" w:type="dxa"/>
            <w:left w:w="108" w:type="dxa"/>
            <w:bottom w:w="0" w:type="dxa"/>
            <w:right w:w="108" w:type="dxa"/>
          </w:tblCellMar>
        </w:tblPrEx>
        <w:trPr>
          <w:trHeight w:val="20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6</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硅藻检查</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700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对尸体的肺、肝、肾、长骨及牙齿等器官组织进行硅藻检查。含照相、录像。一具尸体的一种器官组织（肺、肝、肾、长骨及牙齿等）为一例。含照相、录像。</w:t>
            </w:r>
          </w:p>
        </w:tc>
      </w:tr>
      <w:tr>
        <w:tblPrEx>
          <w:tblLayout w:type="fixed"/>
          <w:tblCellMar>
            <w:top w:w="0" w:type="dxa"/>
            <w:left w:w="108" w:type="dxa"/>
            <w:bottom w:w="0" w:type="dxa"/>
            <w:right w:w="108" w:type="dxa"/>
          </w:tblCellMar>
        </w:tblPrEx>
        <w:trPr>
          <w:trHeight w:val="114"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7</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法医现场勘查</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法医到案件现场进行勘查。</w:t>
            </w:r>
          </w:p>
        </w:tc>
      </w:tr>
      <w:tr>
        <w:tblPrEx>
          <w:tblLayout w:type="fixed"/>
          <w:tblCellMar>
            <w:top w:w="0" w:type="dxa"/>
            <w:left w:w="108" w:type="dxa"/>
            <w:bottom w:w="0" w:type="dxa"/>
            <w:right w:w="108" w:type="dxa"/>
          </w:tblCellMar>
        </w:tblPrEx>
        <w:trPr>
          <w:trHeight w:val="21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死亡原因分析</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运用法医学的理论知识和技术，综合分析尸表检查、尸体剖验、组织切片观察、毒物分析等检查结果，结合书证审查，确定死亡原因；或仅依靠对尸检照片、尸检记录、病史等资料的书证审查，推测或判断死亡原因。</w:t>
            </w:r>
          </w:p>
        </w:tc>
      </w:tr>
      <w:tr>
        <w:tblPrEx>
          <w:tblLayout w:type="fixed"/>
          <w:tblCellMar>
            <w:top w:w="0" w:type="dxa"/>
            <w:left w:w="108" w:type="dxa"/>
            <w:bottom w:w="0" w:type="dxa"/>
            <w:right w:w="108" w:type="dxa"/>
          </w:tblCellMar>
        </w:tblPrEx>
        <w:trPr>
          <w:trHeight w:val="15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9</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死亡方式判断</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运用法医学的理论知识和技术，综合分析尸表检查、尸体剖验、组织切片观察、毒物分析等检查结果，根据现场勘查和案情调查，结合书证审查，判定致死方式。</w:t>
            </w:r>
          </w:p>
        </w:tc>
      </w:tr>
      <w:tr>
        <w:tblPrEx>
          <w:tblLayout w:type="fixed"/>
          <w:tblCellMar>
            <w:top w:w="0" w:type="dxa"/>
            <w:left w:w="108" w:type="dxa"/>
            <w:bottom w:w="0" w:type="dxa"/>
            <w:right w:w="108" w:type="dxa"/>
          </w:tblCellMar>
        </w:tblPrEx>
        <w:trPr>
          <w:trHeight w:val="235"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致伤物推断与认定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运用法医病理学的理论知识和技术，分析损伤的形态特征及成伤机制，综合现场勘查、尸体检验结果，损伤和可疑致伤物上附着物的理化检验结果、DNA同一认定结果等，认定致死伤物体。</w:t>
            </w:r>
          </w:p>
        </w:tc>
      </w:tr>
      <w:tr>
        <w:tblPrEx>
          <w:tblLayout w:type="fixed"/>
          <w:tblCellMar>
            <w:top w:w="0" w:type="dxa"/>
            <w:left w:w="108" w:type="dxa"/>
            <w:bottom w:w="0" w:type="dxa"/>
            <w:right w:w="108" w:type="dxa"/>
          </w:tblCellMar>
        </w:tblPrEx>
        <w:trPr>
          <w:trHeight w:val="11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生前伤死后伤鉴别</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运用法医病理学的理论知识和技术，综合分析现场勘查、尸体检验结果、组织切片检查结果等，鉴别死者损伤是生前还是死后形成。</w:t>
            </w:r>
          </w:p>
        </w:tc>
      </w:tr>
      <w:tr>
        <w:tblPrEx>
          <w:tblLayout w:type="fixed"/>
          <w:tblCellMar>
            <w:top w:w="0" w:type="dxa"/>
            <w:left w:w="108" w:type="dxa"/>
            <w:bottom w:w="0" w:type="dxa"/>
            <w:right w:w="108" w:type="dxa"/>
          </w:tblCellMar>
        </w:tblPrEx>
        <w:trPr>
          <w:trHeight w:val="149" w:hRule="atLeast"/>
          <w:jc w:val="center"/>
        </w:trPr>
        <w:tc>
          <w:tcPr>
            <w:tcW w:w="6708" w:type="dxa"/>
            <w:gridSpan w:val="5"/>
            <w:tcBorders>
              <w:left w:val="nil"/>
              <w:bottom w:val="single" w:color="auto" w:sz="4" w:space="0"/>
              <w:right w:val="nil"/>
            </w:tcBorders>
            <w:vAlign w:val="center"/>
          </w:tcPr>
          <w:p>
            <w:pPr>
              <w:widowControl/>
              <w:adjustRightInd w:val="0"/>
              <w:snapToGrid w:val="0"/>
              <w:spacing w:line="500" w:lineRule="exact"/>
              <w:rPr>
                <w:rFonts w:ascii="宋体" w:hAnsi="宋体" w:eastAsia="宋体" w:cs="宋体"/>
                <w:kern w:val="0"/>
                <w:sz w:val="24"/>
              </w:rPr>
            </w:pPr>
            <w:r>
              <w:rPr>
                <w:rFonts w:hint="eastAsia" w:ascii="宋体" w:hAnsi="宋体" w:eastAsia="宋体" w:cs="宋体"/>
                <w:kern w:val="0"/>
                <w:sz w:val="24"/>
              </w:rPr>
              <w:t>（二）法医临床鉴定项目（9项）</w:t>
            </w:r>
          </w:p>
        </w:tc>
        <w:tc>
          <w:tcPr>
            <w:tcW w:w="3156" w:type="dxa"/>
            <w:tcBorders>
              <w:top w:val="nil"/>
              <w:left w:val="nil"/>
              <w:bottom w:val="nil"/>
              <w:right w:val="nil"/>
            </w:tcBorders>
            <w:vAlign w:val="center"/>
          </w:tcPr>
          <w:p>
            <w:pPr>
              <w:widowControl/>
              <w:adjustRightInd w:val="0"/>
              <w:snapToGrid w:val="0"/>
              <w:spacing w:line="500" w:lineRule="exac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7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损伤程度鉴定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700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鉴定人体损伤的程度，即伤情评定（不包括精神损伤程度鉴定）。仅对体表损伤程度进行鉴定的，应减收50%的费用。</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伤残程度评定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评定因人体损伤导致的残疾程度（不包括精神伤残程度评定）。</w:t>
            </w:r>
          </w:p>
        </w:tc>
      </w:tr>
      <w:tr>
        <w:tblPrEx>
          <w:tblLayout w:type="fixed"/>
          <w:tblCellMar>
            <w:top w:w="0" w:type="dxa"/>
            <w:left w:w="108" w:type="dxa"/>
            <w:bottom w:w="0" w:type="dxa"/>
            <w:right w:w="108" w:type="dxa"/>
          </w:tblCellMar>
        </w:tblPrEx>
        <w:trPr>
          <w:trHeight w:val="12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伤病关系鉴定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1200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评定损伤与疾病的因果关系及其程度，或损伤与疾病在人身损害后果中的原因力大小（精神科除外）。</w:t>
            </w:r>
          </w:p>
        </w:tc>
      </w:tr>
      <w:tr>
        <w:tblPrEx>
          <w:tblLayout w:type="fixed"/>
          <w:tblCellMar>
            <w:top w:w="0" w:type="dxa"/>
            <w:left w:w="108" w:type="dxa"/>
            <w:bottom w:w="0" w:type="dxa"/>
            <w:right w:w="108" w:type="dxa"/>
          </w:tblCellMar>
        </w:tblPrEx>
        <w:trPr>
          <w:trHeight w:val="115"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劳动能力鉴定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评定被鉴定人丧失劳动能力的程度（精神科除外）。</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活体年龄鉴定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评测被鉴定人的骨龄或生理年龄。</w:t>
            </w:r>
          </w:p>
        </w:tc>
      </w:tr>
      <w:tr>
        <w:tblPrEx>
          <w:tblLayout w:type="fixed"/>
          <w:tblCellMar>
            <w:top w:w="0" w:type="dxa"/>
            <w:left w:w="108" w:type="dxa"/>
            <w:bottom w:w="0" w:type="dxa"/>
            <w:right w:w="108" w:type="dxa"/>
          </w:tblCellMar>
        </w:tblPrEx>
        <w:trPr>
          <w:trHeight w:val="195"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6</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致伤物和致伤方式推断</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推断导致人身伤害的物体种类、特征，推断致伤方式（包括交通事故中被鉴定人的致伤方式），作致伤物同一认定。</w:t>
            </w:r>
          </w:p>
        </w:tc>
      </w:tr>
      <w:tr>
        <w:tblPrEx>
          <w:tblLayout w:type="fixed"/>
          <w:tblCellMar>
            <w:top w:w="0" w:type="dxa"/>
            <w:left w:w="108" w:type="dxa"/>
            <w:bottom w:w="0" w:type="dxa"/>
            <w:right w:w="108" w:type="dxa"/>
          </w:tblCellMar>
        </w:tblPrEx>
        <w:trPr>
          <w:trHeight w:val="20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7</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后续治疗项目和时限评定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评定被鉴定人伤病（精神科除外）治疗终结后，所需的继续治疗、再次手术、康复、使用临床辅助器具（包括更换周期）等合理的后续治疗项目及时限。</w:t>
            </w:r>
          </w:p>
        </w:tc>
      </w:tr>
      <w:tr>
        <w:tblPrEx>
          <w:tblLayout w:type="fixed"/>
          <w:tblCellMar>
            <w:top w:w="0" w:type="dxa"/>
            <w:left w:w="108" w:type="dxa"/>
            <w:bottom w:w="0" w:type="dxa"/>
            <w:right w:w="108" w:type="dxa"/>
          </w:tblCellMar>
        </w:tblPrEx>
        <w:trPr>
          <w:trHeight w:val="129"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护理依赖程度评定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评定被鉴定人因伤、病（精神科除外）是否存在护理依赖及其程度。</w:t>
            </w:r>
          </w:p>
        </w:tc>
      </w:tr>
      <w:tr>
        <w:tblPrEx>
          <w:tblLayout w:type="fixed"/>
          <w:tblCellMar>
            <w:top w:w="0" w:type="dxa"/>
            <w:left w:w="108" w:type="dxa"/>
            <w:bottom w:w="0" w:type="dxa"/>
            <w:right w:w="108" w:type="dxa"/>
          </w:tblCellMar>
        </w:tblPrEx>
        <w:trPr>
          <w:trHeight w:val="76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9</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误工期、护理期、营养期评定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评定被鉴定人因伤、病（精神科除外）产生的误工、营养、护理的时间，即“三期”评定。评定“三期”中的任何一项、二项或三项，均按照同一标准收取一笔费用。</w:t>
            </w:r>
          </w:p>
        </w:tc>
      </w:tr>
      <w:tr>
        <w:tblPrEx>
          <w:tblLayout w:type="fixed"/>
          <w:tblCellMar>
            <w:top w:w="0" w:type="dxa"/>
            <w:left w:w="108" w:type="dxa"/>
            <w:bottom w:w="0" w:type="dxa"/>
            <w:right w:w="108" w:type="dxa"/>
          </w:tblCellMar>
        </w:tblPrEx>
        <w:trPr>
          <w:trHeight w:val="137" w:hRule="atLeast"/>
          <w:jc w:val="center"/>
        </w:trPr>
        <w:tc>
          <w:tcPr>
            <w:tcW w:w="6708" w:type="dxa"/>
            <w:gridSpan w:val="5"/>
            <w:tcBorders>
              <w:top w:val="single" w:color="auto" w:sz="4" w:space="0"/>
              <w:left w:val="nil"/>
              <w:bottom w:val="single" w:color="auto" w:sz="4" w:space="0"/>
              <w:right w:val="nil"/>
            </w:tcBorders>
            <w:vAlign w:val="center"/>
          </w:tcPr>
          <w:p>
            <w:pPr>
              <w:widowControl/>
              <w:adjustRightInd w:val="0"/>
              <w:snapToGrid w:val="0"/>
              <w:spacing w:line="500" w:lineRule="exact"/>
              <w:rPr>
                <w:rFonts w:ascii="宋体" w:hAnsi="宋体" w:eastAsia="宋体" w:cs="宋体"/>
                <w:kern w:val="0"/>
                <w:sz w:val="24"/>
              </w:rPr>
            </w:pPr>
            <w:r>
              <w:rPr>
                <w:rFonts w:hint="eastAsia" w:ascii="宋体" w:hAnsi="宋体" w:eastAsia="宋体" w:cs="宋体"/>
                <w:kern w:val="0"/>
                <w:sz w:val="24"/>
              </w:rPr>
              <w:t>（三）法医精神病鉴定项目（11项）</w:t>
            </w:r>
          </w:p>
        </w:tc>
        <w:tc>
          <w:tcPr>
            <w:tcW w:w="3156" w:type="dxa"/>
            <w:tcBorders>
              <w:top w:val="nil"/>
              <w:left w:val="nil"/>
              <w:bottom w:val="nil"/>
              <w:right w:val="nil"/>
            </w:tcBorders>
            <w:vAlign w:val="center"/>
          </w:tcPr>
          <w:p>
            <w:pPr>
              <w:widowControl/>
              <w:adjustRightInd w:val="0"/>
              <w:snapToGrid w:val="0"/>
              <w:spacing w:line="500" w:lineRule="exac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3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精神状态鉴定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900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判定被鉴定人在特定时间或时期的精神状态，包括智能障碍、精神疾病诊断及严重程度评定。</w:t>
            </w:r>
          </w:p>
        </w:tc>
      </w:tr>
      <w:tr>
        <w:tblPrEx>
          <w:tblLayout w:type="fixed"/>
          <w:tblCellMar>
            <w:top w:w="0" w:type="dxa"/>
            <w:left w:w="108" w:type="dxa"/>
            <w:bottom w:w="0" w:type="dxa"/>
            <w:right w:w="108" w:type="dxa"/>
          </w:tblCellMar>
        </w:tblPrEx>
        <w:trPr>
          <w:trHeight w:val="13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刑事责任能力评定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评定行为人在实施刑法所规定的犯罪行为时的实质性辨认能力和控制能力。</w:t>
            </w:r>
          </w:p>
        </w:tc>
      </w:tr>
      <w:tr>
        <w:tblPrEx>
          <w:tblLayout w:type="fixed"/>
          <w:tblCellMar>
            <w:top w:w="0" w:type="dxa"/>
            <w:left w:w="108" w:type="dxa"/>
            <w:bottom w:w="0" w:type="dxa"/>
            <w:right w:w="108" w:type="dxa"/>
          </w:tblCellMar>
        </w:tblPrEx>
        <w:trPr>
          <w:trHeight w:val="50"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受审能力评定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评定犯罪嫌疑人或者被告人在刑事诉讼活动中是否具有：理解自己面临的诉讼及其可能带来的后果的能力；认识诉讼程序及自身权利的能力；与辩护人配合进行合理辩护的能力。</w:t>
            </w:r>
          </w:p>
        </w:tc>
      </w:tr>
      <w:tr>
        <w:tblPrEx>
          <w:tblLayout w:type="fixed"/>
          <w:tblCellMar>
            <w:top w:w="0" w:type="dxa"/>
            <w:left w:w="108" w:type="dxa"/>
            <w:bottom w:w="0" w:type="dxa"/>
            <w:right w:w="108" w:type="dxa"/>
          </w:tblCellMar>
        </w:tblPrEx>
        <w:trPr>
          <w:trHeight w:val="293"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服刑能力评定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1200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评定服刑人员目前是否具有：对自己所承受刑罚的性质、意义和目的的认识能力，对自己的身份和出路的认识能力，对自己当前应当遵循的行为规范的适应能力。</w:t>
            </w: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性自我防卫能力评定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评定受害人在遭受性侵害时对性侵害的辨认和自我控制能力。</w:t>
            </w:r>
          </w:p>
        </w:tc>
      </w:tr>
      <w:tr>
        <w:tblPrEx>
          <w:tblLayout w:type="fixed"/>
          <w:tblCellMar>
            <w:top w:w="0" w:type="dxa"/>
            <w:left w:w="108" w:type="dxa"/>
            <w:bottom w:w="0" w:type="dxa"/>
            <w:right w:w="108" w:type="dxa"/>
          </w:tblCellMar>
        </w:tblPrEx>
        <w:trPr>
          <w:trHeight w:val="275"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6</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诉讼能力评定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评定当事人在民事诉讼活动或行政诉讼活动中，是否理解自己在诉讼活动中的地位、权力和诉讼过程的意义，是否具有亲自进行诉讼活动，独立行使诉讼权利和履行诉讼义务的能力。</w:t>
            </w:r>
          </w:p>
        </w:tc>
      </w:tr>
      <w:tr>
        <w:tblPrEx>
          <w:tblLayout w:type="fixed"/>
          <w:tblCellMar>
            <w:top w:w="0" w:type="dxa"/>
            <w:left w:w="108" w:type="dxa"/>
            <w:bottom w:w="0" w:type="dxa"/>
            <w:right w:w="108" w:type="dxa"/>
          </w:tblCellMar>
        </w:tblPrEx>
        <w:trPr>
          <w:trHeight w:val="23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7</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民事行为能力评定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1200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评定当事人在民事活动中，是否能够辨认自己的民事权利和义务，是否能够作出真实的意思表示，是否能够保护自己的合法权益。</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8</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精神损伤程度评定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评定被鉴定人的精神损伤程度（伤情评定）。</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9</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精神伤残程度评定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评定被鉴定人因精神损伤导致的残疾程度。</w:t>
            </w: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精神障碍因果关系鉴定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评定损伤与精神障碍间的因果关系，或损伤与精神障碍在人身损害后果中的原因力大小。</w:t>
            </w:r>
          </w:p>
        </w:tc>
      </w:tr>
      <w:tr>
        <w:tblPrEx>
          <w:tblLayout w:type="fixed"/>
          <w:tblCellMar>
            <w:top w:w="0" w:type="dxa"/>
            <w:left w:w="108" w:type="dxa"/>
            <w:bottom w:w="0" w:type="dxa"/>
            <w:right w:w="108" w:type="dxa"/>
          </w:tblCellMar>
        </w:tblPrEx>
        <w:trPr>
          <w:trHeight w:val="133"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11</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精神障碍医学鉴定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评价疑似严重精神障碍患者是否符合非自愿住院治疗的标准。适用于《精神卫生法》第32条规定的程序。</w:t>
            </w:r>
          </w:p>
        </w:tc>
      </w:tr>
      <w:tr>
        <w:tblPrEx>
          <w:tblLayout w:type="fixed"/>
          <w:tblCellMar>
            <w:top w:w="0" w:type="dxa"/>
            <w:left w:w="108" w:type="dxa"/>
            <w:bottom w:w="0" w:type="dxa"/>
            <w:right w:w="108" w:type="dxa"/>
          </w:tblCellMar>
        </w:tblPrEx>
        <w:trPr>
          <w:trHeight w:val="130" w:hRule="atLeast"/>
          <w:jc w:val="center"/>
        </w:trPr>
        <w:tc>
          <w:tcPr>
            <w:tcW w:w="6708" w:type="dxa"/>
            <w:gridSpan w:val="5"/>
            <w:tcBorders>
              <w:left w:val="nil"/>
              <w:bottom w:val="nil"/>
              <w:right w:val="nil"/>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（四）法医物证鉴定项目（4项）</w:t>
            </w:r>
          </w:p>
        </w:tc>
        <w:tc>
          <w:tcPr>
            <w:tcW w:w="3156" w:type="dxa"/>
            <w:tcBorders>
              <w:top w:val="nil"/>
              <w:left w:val="nil"/>
              <w:bottom w:val="nil"/>
              <w:right w:val="nil"/>
            </w:tcBorders>
            <w:vAlign w:val="center"/>
          </w:tcPr>
          <w:p>
            <w:pPr>
              <w:widowControl/>
              <w:adjustRightInd w:val="0"/>
              <w:snapToGrid w:val="0"/>
              <w:spacing w:line="360" w:lineRule="exac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人类血斑、精斑种属试验</w:t>
            </w:r>
          </w:p>
        </w:tc>
        <w:tc>
          <w:tcPr>
            <w:tcW w:w="843"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150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 w:val="24"/>
              </w:rPr>
            </w:pPr>
            <w:r>
              <w:rPr>
                <w:rFonts w:hint="eastAsia" w:ascii="宋体" w:hAnsi="宋体" w:eastAsia="宋体" w:cs="宋体"/>
                <w:kern w:val="0"/>
                <w:sz w:val="24"/>
              </w:rPr>
              <w:t>确认可疑斑痕是否为人血或是否含有人血；确定可疑斑痕是否为人类精液斑，包括确认混合斑中是否含有人类精液。</w:t>
            </w:r>
          </w:p>
        </w:tc>
      </w:tr>
      <w:tr>
        <w:tblPrEx>
          <w:tblLayout w:type="fixed"/>
          <w:tblCellMar>
            <w:top w:w="0" w:type="dxa"/>
            <w:left w:w="108" w:type="dxa"/>
            <w:bottom w:w="0" w:type="dxa"/>
            <w:right w:w="108" w:type="dxa"/>
          </w:tblCellMar>
        </w:tblPrEx>
        <w:trPr>
          <w:trHeight w:val="34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hint="eastAsia" w:ascii="宋体" w:hAnsi="宋体" w:eastAsia="宋体" w:cs="宋体"/>
                <w:kern w:val="0"/>
                <w:sz w:val="24"/>
              </w:rPr>
            </w:pPr>
            <w:r>
              <w:rPr>
                <w:rFonts w:hint="eastAsia" w:ascii="宋体" w:hAnsi="宋体" w:eastAsia="宋体" w:cs="宋体"/>
                <w:kern w:val="0"/>
                <w:sz w:val="24"/>
              </w:rPr>
              <w:t>常染色体STR检验</w:t>
            </w:r>
          </w:p>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 xml:space="preserve"> —— 个体识别</w:t>
            </w:r>
          </w:p>
        </w:tc>
        <w:tc>
          <w:tcPr>
            <w:tcW w:w="843"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 w:val="24"/>
              </w:rPr>
            </w:pPr>
            <w:r>
              <w:rPr>
                <w:rFonts w:hint="eastAsia" w:ascii="宋体" w:hAnsi="宋体" w:eastAsia="宋体" w:cs="宋体"/>
                <w:bCs/>
                <w:kern w:val="0"/>
                <w:sz w:val="24"/>
              </w:rPr>
              <w:t>对于每个样本的检验应不少于15个基因座。</w:t>
            </w:r>
            <w:r>
              <w:rPr>
                <w:rFonts w:hint="eastAsia" w:ascii="宋体" w:hAnsi="宋体" w:eastAsia="宋体" w:cs="宋体"/>
                <w:kern w:val="0"/>
                <w:sz w:val="24"/>
              </w:rPr>
              <w:t>利用常染色</w:t>
            </w:r>
            <w:r>
              <w:rPr>
                <w:rFonts w:hint="eastAsia" w:ascii="宋体" w:hAnsi="宋体" w:eastAsia="宋体" w:cs="宋体"/>
                <w:spacing w:val="-6"/>
                <w:kern w:val="0"/>
                <w:sz w:val="24"/>
              </w:rPr>
              <w:t>体DNA的STR（短串联重复序列）检测技术，对生物检材和比对样本进行检测，以确定是否来源于同一个个体。每增加1份比对样本，加收50%的费用。以骨骼、牙齿、指甲、精斑、精液等特殊检材作为样本的，加收50%的费用</w:t>
            </w:r>
            <w:r>
              <w:rPr>
                <w:rFonts w:hint="eastAsia" w:ascii="宋体" w:hAnsi="宋体" w:eastAsia="宋体" w:cs="宋体"/>
                <w:kern w:val="0"/>
                <w:sz w:val="24"/>
              </w:rPr>
              <w:t>。</w:t>
            </w:r>
          </w:p>
        </w:tc>
      </w:tr>
      <w:tr>
        <w:tblPrEx>
          <w:tblLayout w:type="fixed"/>
          <w:tblCellMar>
            <w:top w:w="0" w:type="dxa"/>
            <w:left w:w="108" w:type="dxa"/>
            <w:bottom w:w="0" w:type="dxa"/>
            <w:right w:w="108" w:type="dxa"/>
          </w:tblCellMar>
        </w:tblPrEx>
        <w:trPr>
          <w:trHeight w:val="31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40" w:lineRule="exact"/>
              <w:jc w:val="center"/>
              <w:rPr>
                <w:rFonts w:hint="eastAsia" w:ascii="宋体" w:hAnsi="宋体" w:eastAsia="宋体" w:cs="宋体"/>
                <w:kern w:val="0"/>
                <w:sz w:val="24"/>
              </w:rPr>
            </w:pPr>
            <w:r>
              <w:rPr>
                <w:rFonts w:hint="eastAsia" w:ascii="宋体" w:hAnsi="宋体" w:eastAsia="宋体" w:cs="宋体"/>
                <w:kern w:val="0"/>
                <w:sz w:val="24"/>
              </w:rPr>
              <w:t>常染色体STR检验</w:t>
            </w:r>
          </w:p>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 xml:space="preserve"> —— 三联体亲子鉴定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 w:val="24"/>
              </w:rPr>
            </w:pPr>
            <w:r>
              <w:rPr>
                <w:rFonts w:hint="eastAsia" w:ascii="宋体" w:hAnsi="宋体" w:eastAsia="宋体" w:cs="宋体"/>
                <w:bCs/>
                <w:kern w:val="0"/>
                <w:sz w:val="24"/>
              </w:rPr>
              <w:t>对于每个样本的检验应不少于15个基因座。</w:t>
            </w:r>
            <w:r>
              <w:rPr>
                <w:rFonts w:hint="eastAsia" w:ascii="宋体" w:hAnsi="宋体" w:eastAsia="宋体" w:cs="宋体"/>
                <w:kern w:val="0"/>
                <w:sz w:val="24"/>
              </w:rPr>
              <w:t>利用常染色体DNA的STR（短串联重复序列）检测技术，对男子、女子及孩子进行检测分析，以确定男子是否为孩子的生父和（或）女子是否为孩子的生母。以骨骼、牙齿、指</w:t>
            </w:r>
            <w:r>
              <w:rPr>
                <w:rFonts w:hint="eastAsia" w:ascii="宋体" w:hAnsi="宋体" w:eastAsia="宋体" w:cs="宋体"/>
                <w:spacing w:val="-6"/>
                <w:kern w:val="0"/>
                <w:sz w:val="24"/>
              </w:rPr>
              <w:t>甲、精斑、精液等特殊检材作为样本的，加收50%的费用</w:t>
            </w:r>
            <w:r>
              <w:rPr>
                <w:rFonts w:hint="eastAsia" w:ascii="宋体" w:hAnsi="宋体" w:eastAsia="宋体" w:cs="宋体"/>
                <w:kern w:val="0"/>
                <w:sz w:val="24"/>
              </w:rPr>
              <w:t>。</w:t>
            </w:r>
          </w:p>
        </w:tc>
      </w:tr>
      <w:tr>
        <w:tblPrEx>
          <w:tblLayout w:type="fixed"/>
          <w:tblCellMar>
            <w:top w:w="0" w:type="dxa"/>
            <w:left w:w="108" w:type="dxa"/>
            <w:bottom w:w="0" w:type="dxa"/>
            <w:right w:w="108" w:type="dxa"/>
          </w:tblCellMar>
        </w:tblPrEx>
        <w:trPr>
          <w:trHeight w:val="32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hint="eastAsia" w:ascii="宋体" w:hAnsi="宋体" w:eastAsia="宋体" w:cs="宋体"/>
                <w:kern w:val="0"/>
                <w:sz w:val="24"/>
              </w:rPr>
            </w:pPr>
            <w:r>
              <w:rPr>
                <w:rFonts w:hint="eastAsia" w:ascii="宋体" w:hAnsi="宋体" w:eastAsia="宋体" w:cs="宋体"/>
                <w:kern w:val="0"/>
                <w:sz w:val="24"/>
              </w:rPr>
              <w:t>常染色体STR检验</w:t>
            </w:r>
          </w:p>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 xml:space="preserve"> —— 二联体亲子鉴定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4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 w:val="24"/>
              </w:rPr>
            </w:pPr>
            <w:r>
              <w:rPr>
                <w:rFonts w:hint="eastAsia" w:ascii="宋体" w:hAnsi="宋体" w:eastAsia="宋体" w:cs="宋体"/>
                <w:bCs/>
                <w:kern w:val="0"/>
                <w:sz w:val="24"/>
              </w:rPr>
              <w:t>对于每个样本的检验应不少于15个基因座。</w:t>
            </w:r>
            <w:r>
              <w:rPr>
                <w:rFonts w:hint="eastAsia" w:ascii="宋体" w:hAnsi="宋体" w:eastAsia="宋体" w:cs="宋体"/>
                <w:kern w:val="0"/>
                <w:sz w:val="24"/>
              </w:rPr>
              <w:t>在生父或生母一方不参与的情况下,利用常染色体DNA的STR（短串联重复序列）检测技术，以确定被检测男子（女子）是否为孩子的生父（生母）。以骨骼、牙齿、指甲、精斑、精液等特殊检材作为样本的，加收50%的费用。</w:t>
            </w:r>
          </w:p>
        </w:tc>
      </w:tr>
      <w:tr>
        <w:tblPrEx>
          <w:tblLayout w:type="fixed"/>
          <w:tblCellMar>
            <w:top w:w="0" w:type="dxa"/>
            <w:left w:w="108" w:type="dxa"/>
            <w:bottom w:w="0" w:type="dxa"/>
            <w:right w:w="108" w:type="dxa"/>
          </w:tblCellMar>
        </w:tblPrEx>
        <w:trPr>
          <w:trHeight w:val="91" w:hRule="atLeast"/>
          <w:jc w:val="center"/>
        </w:trPr>
        <w:tc>
          <w:tcPr>
            <w:tcW w:w="6708" w:type="dxa"/>
            <w:gridSpan w:val="5"/>
            <w:tcBorders>
              <w:top w:val="single" w:color="auto" w:sz="4" w:space="0"/>
              <w:left w:val="nil"/>
              <w:bottom w:val="single" w:color="auto" w:sz="4" w:space="0"/>
              <w:right w:val="nil"/>
            </w:tcBorders>
            <w:vAlign w:val="center"/>
          </w:tcPr>
          <w:p>
            <w:pPr>
              <w:widowControl/>
              <w:adjustRightInd w:val="0"/>
              <w:snapToGrid w:val="0"/>
              <w:spacing w:line="380" w:lineRule="exact"/>
              <w:rPr>
                <w:rFonts w:ascii="宋体" w:hAnsi="宋体" w:eastAsia="宋体" w:cs="宋体"/>
                <w:bCs/>
                <w:kern w:val="0"/>
                <w:sz w:val="24"/>
              </w:rPr>
            </w:pPr>
            <w:r>
              <w:rPr>
                <w:rFonts w:hint="eastAsia" w:ascii="宋体" w:hAnsi="宋体" w:eastAsia="宋体" w:cs="宋体"/>
                <w:bCs/>
                <w:kern w:val="0"/>
                <w:sz w:val="24"/>
              </w:rPr>
              <w:t>（五）法医毒物鉴定项目（4项）</w:t>
            </w:r>
          </w:p>
        </w:tc>
        <w:tc>
          <w:tcPr>
            <w:tcW w:w="3156" w:type="dxa"/>
            <w:tcBorders>
              <w:top w:val="nil"/>
              <w:left w:val="nil"/>
              <w:bottom w:val="nil"/>
              <w:right w:val="nil"/>
            </w:tcBorders>
            <w:vAlign w:val="center"/>
          </w:tcPr>
          <w:p>
            <w:pPr>
              <w:widowControl/>
              <w:adjustRightInd w:val="0"/>
              <w:snapToGrid w:val="0"/>
              <w:spacing w:line="380" w:lineRule="exac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23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人体体液中乙醇定性定量分析</w:t>
            </w:r>
          </w:p>
        </w:tc>
        <w:tc>
          <w:tcPr>
            <w:tcW w:w="843"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450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检测人体体液中是否含有乙醇，测定人体体液中的乙醇浓度。</w:t>
            </w:r>
          </w:p>
        </w:tc>
      </w:tr>
      <w:tr>
        <w:tblPrEx>
          <w:tblLayout w:type="fixed"/>
          <w:tblCellMar>
            <w:top w:w="0" w:type="dxa"/>
            <w:left w:w="108" w:type="dxa"/>
            <w:bottom w:w="0" w:type="dxa"/>
            <w:right w:w="108" w:type="dxa"/>
          </w:tblCellMar>
        </w:tblPrEx>
        <w:trPr>
          <w:trHeight w:val="19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血液中碳氧血红蛋白饱和度检测</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样本</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300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测定血液中的碳氧血红蛋白的饱和度。</w:t>
            </w:r>
          </w:p>
        </w:tc>
      </w:tr>
      <w:tr>
        <w:tblPrEx>
          <w:tblLayout w:type="fixed"/>
          <w:tblCellMar>
            <w:top w:w="0" w:type="dxa"/>
            <w:left w:w="108" w:type="dxa"/>
            <w:bottom w:w="0" w:type="dxa"/>
            <w:right w:w="108" w:type="dxa"/>
          </w:tblCellMar>
        </w:tblPrEx>
        <w:trPr>
          <w:trHeight w:val="19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人体体液中毒品定性分析</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样本/类目标物</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检测人体体液中是否含有某一种类的毒品或其代谢物。对同一检材进行多类目标物的筛查，加收50%的费用。如进行定量分析，加收50%的费用。</w:t>
            </w:r>
          </w:p>
        </w:tc>
      </w:tr>
      <w:tr>
        <w:tblPrEx>
          <w:tblLayout w:type="fixed"/>
          <w:tblCellMar>
            <w:top w:w="0" w:type="dxa"/>
            <w:left w:w="108" w:type="dxa"/>
            <w:bottom w:w="0" w:type="dxa"/>
            <w:right w:w="108" w:type="dxa"/>
          </w:tblCellMar>
        </w:tblPrEx>
        <w:trPr>
          <w:trHeight w:val="214"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毒品、毒（药）物定性分析</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样本/类目标物</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700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测定样品中的毒品、毒（药）物成分。对同一检材进行多类目标物的筛查，加收50%的费用。进行定量分析，加收50%的费用。</w:t>
            </w:r>
          </w:p>
        </w:tc>
      </w:tr>
      <w:tr>
        <w:tblPrEx>
          <w:tblLayout w:type="fixed"/>
          <w:tblCellMar>
            <w:top w:w="0" w:type="dxa"/>
            <w:left w:w="108" w:type="dxa"/>
            <w:bottom w:w="0" w:type="dxa"/>
            <w:right w:w="108" w:type="dxa"/>
          </w:tblCellMar>
        </w:tblPrEx>
        <w:trPr>
          <w:trHeight w:val="98" w:hRule="atLeast"/>
          <w:jc w:val="center"/>
        </w:trPr>
        <w:tc>
          <w:tcPr>
            <w:tcW w:w="6708" w:type="dxa"/>
            <w:gridSpan w:val="5"/>
            <w:tcBorders>
              <w:top w:val="nil"/>
              <w:left w:val="nil"/>
              <w:bottom w:val="single" w:color="auto" w:sz="4" w:space="0"/>
              <w:right w:val="nil"/>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（六）医疗损害鉴定项目（3项）</w:t>
            </w:r>
          </w:p>
        </w:tc>
        <w:tc>
          <w:tcPr>
            <w:tcW w:w="3156" w:type="dxa"/>
            <w:tcBorders>
              <w:top w:val="nil"/>
              <w:left w:val="nil"/>
              <w:bottom w:val="nil"/>
              <w:right w:val="nil"/>
            </w:tcBorders>
            <w:vAlign w:val="center"/>
          </w:tcPr>
          <w:p>
            <w:pPr>
              <w:widowControl/>
              <w:adjustRightInd w:val="0"/>
              <w:snapToGrid w:val="0"/>
              <w:spacing w:line="360" w:lineRule="exac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kern w:val="0"/>
                <w:sz w:val="24"/>
              </w:rPr>
            </w:pPr>
            <w:r>
              <w:rPr>
                <w:rFonts w:hint="eastAsia" w:ascii="宋体" w:hAnsi="宋体" w:eastAsia="宋体" w:cs="宋体"/>
                <w:b/>
                <w:bCs/>
                <w:kern w:val="0"/>
                <w:sz w:val="24"/>
              </w:rPr>
              <w:t>收费</w:t>
            </w:r>
          </w:p>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医疗损害后果评定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评定诊疗活动对患者造成的损害后果。</w:t>
            </w:r>
          </w:p>
        </w:tc>
      </w:tr>
      <w:tr>
        <w:tblPrEx>
          <w:tblLayout w:type="fixed"/>
          <w:tblCellMar>
            <w:top w:w="0" w:type="dxa"/>
            <w:left w:w="108" w:type="dxa"/>
            <w:bottom w:w="0" w:type="dxa"/>
            <w:right w:w="108" w:type="dxa"/>
          </w:tblCellMar>
        </w:tblPrEx>
        <w:trPr>
          <w:trHeight w:val="11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医疗过错评定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评定医疗机构及其医务人员在诊疗活动中是否存在过错。</w:t>
            </w:r>
          </w:p>
        </w:tc>
      </w:tr>
      <w:tr>
        <w:tblPrEx>
          <w:tblLayout w:type="fixed"/>
          <w:tblCellMar>
            <w:top w:w="0" w:type="dxa"/>
            <w:left w:w="108" w:type="dxa"/>
            <w:bottom w:w="0" w:type="dxa"/>
            <w:right w:w="108" w:type="dxa"/>
          </w:tblCellMar>
        </w:tblPrEx>
        <w:trPr>
          <w:trHeight w:val="18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医疗过错与损害的因果关系评定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评定医疗机构及其医务人员的过错与患者的损害之间是否存在因果关系，判断原因力大小。</w:t>
            </w:r>
          </w:p>
        </w:tc>
      </w:tr>
      <w:tr>
        <w:tblPrEx>
          <w:tblLayout w:type="fixed"/>
          <w:tblCellMar>
            <w:top w:w="0" w:type="dxa"/>
            <w:left w:w="108" w:type="dxa"/>
            <w:bottom w:w="0" w:type="dxa"/>
            <w:right w:w="108" w:type="dxa"/>
          </w:tblCellMar>
        </w:tblPrEx>
        <w:trPr>
          <w:trHeight w:val="62" w:hRule="atLeast"/>
          <w:jc w:val="center"/>
        </w:trPr>
        <w:tc>
          <w:tcPr>
            <w:tcW w:w="3684" w:type="dxa"/>
            <w:gridSpan w:val="4"/>
            <w:tcBorders>
              <w:top w:val="nil"/>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r>
              <w:rPr>
                <w:rFonts w:hint="eastAsia" w:ascii="黑体" w:hAnsi="黑体" w:eastAsia="黑体" w:cs="宋体"/>
                <w:kern w:val="0"/>
                <w:sz w:val="28"/>
                <w:szCs w:val="28"/>
              </w:rPr>
              <w:t>二、物证类</w:t>
            </w:r>
          </w:p>
        </w:tc>
        <w:tc>
          <w:tcPr>
            <w:tcW w:w="3024" w:type="dxa"/>
            <w:tcBorders>
              <w:top w:val="nil"/>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p>
        </w:tc>
        <w:tc>
          <w:tcPr>
            <w:tcW w:w="3156" w:type="dxa"/>
            <w:tcBorders>
              <w:top w:val="nil"/>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p>
        </w:tc>
      </w:tr>
      <w:tr>
        <w:tblPrEx>
          <w:tblLayout w:type="fixed"/>
          <w:tblCellMar>
            <w:top w:w="0" w:type="dxa"/>
            <w:left w:w="108" w:type="dxa"/>
            <w:bottom w:w="0" w:type="dxa"/>
            <w:right w:w="108" w:type="dxa"/>
          </w:tblCellMar>
        </w:tblPrEx>
        <w:trPr>
          <w:trHeight w:val="127" w:hRule="atLeast"/>
          <w:jc w:val="center"/>
        </w:trPr>
        <w:tc>
          <w:tcPr>
            <w:tcW w:w="9864" w:type="dxa"/>
            <w:gridSpan w:val="6"/>
            <w:tcBorders>
              <w:top w:val="nil"/>
              <w:left w:val="nil"/>
              <w:bottom w:val="nil"/>
              <w:right w:val="nil"/>
            </w:tcBorders>
            <w:vAlign w:val="center"/>
          </w:tcPr>
          <w:p>
            <w:pPr>
              <w:widowControl/>
              <w:adjustRightInd/>
              <w:snapToGrid/>
              <w:spacing w:line="440" w:lineRule="exact"/>
              <w:jc w:val="left"/>
              <w:rPr>
                <w:rFonts w:ascii="宋体" w:hAnsi="宋体" w:eastAsia="宋体" w:cs="宋体"/>
                <w:kern w:val="0"/>
                <w:sz w:val="24"/>
              </w:rPr>
            </w:pPr>
            <w:r>
              <w:rPr>
                <w:rFonts w:hint="eastAsia" w:ascii="宋体" w:hAnsi="宋体" w:eastAsia="宋体" w:cs="宋体"/>
                <w:kern w:val="0"/>
                <w:sz w:val="24"/>
              </w:rPr>
              <w:t>（七）文书物证鉴定项目（5项）</w:t>
            </w: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r>
              <w:rPr>
                <w:rFonts w:hint="eastAsia" w:ascii="宋体" w:hAnsi="宋体" w:eastAsia="宋体" w:cs="宋体"/>
                <w:b/>
                <w:bCs/>
                <w:kern w:val="0"/>
                <w:sz w:val="24"/>
              </w:rPr>
              <w:t>释 义 及</w:t>
            </w:r>
          </w:p>
          <w:p>
            <w:pPr>
              <w:widowControl/>
              <w:adjustRightInd w:val="0"/>
              <w:snapToGrid w:val="0"/>
              <w:spacing w:line="440" w:lineRule="exact"/>
              <w:jc w:val="center"/>
              <w:rPr>
                <w:rFonts w:ascii="宋体" w:hAnsi="宋体" w:eastAsia="宋体" w:cs="宋体"/>
                <w:b/>
                <w:bCs/>
                <w:kern w:val="0"/>
                <w:sz w:val="24"/>
              </w:rPr>
            </w:pPr>
            <w:r>
              <w:rPr>
                <w:rFonts w:hint="eastAsia" w:ascii="宋体" w:hAnsi="宋体" w:eastAsia="宋体" w:cs="宋体"/>
                <w:b/>
                <w:bCs/>
                <w:kern w:val="0"/>
                <w:sz w:val="24"/>
              </w:rPr>
              <w:t xml:space="preserve"> 备 注</w:t>
            </w:r>
          </w:p>
        </w:tc>
      </w:tr>
      <w:tr>
        <w:tblPrEx>
          <w:tblLayout w:type="fixed"/>
          <w:tblCellMar>
            <w:top w:w="0" w:type="dxa"/>
            <w:left w:w="108" w:type="dxa"/>
            <w:bottom w:w="0" w:type="dxa"/>
            <w:right w:w="108" w:type="dxa"/>
          </w:tblCellMar>
        </w:tblPrEx>
        <w:trPr>
          <w:trHeight w:val="51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kern w:val="0"/>
                <w:sz w:val="24"/>
              </w:rPr>
            </w:pPr>
            <w:r>
              <w:rPr>
                <w:rFonts w:hint="eastAsia" w:ascii="宋体" w:hAnsi="宋体" w:eastAsia="宋体" w:cs="宋体"/>
                <w:kern w:val="0"/>
                <w:sz w:val="24"/>
              </w:rPr>
              <w:t>笔迹鉴定</w:t>
            </w:r>
          </w:p>
        </w:tc>
        <w:tc>
          <w:tcPr>
            <w:tcW w:w="843" w:type="dxa"/>
            <w:tcBorders>
              <w:top w:val="nil"/>
              <w:left w:val="nil"/>
              <w:bottom w:val="single" w:color="auto" w:sz="4" w:space="0"/>
              <w:right w:val="single" w:color="auto" w:sz="4" w:space="0"/>
            </w:tcBorders>
            <w:vAlign w:val="center"/>
          </w:tcPr>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检材</w:t>
            </w:r>
          </w:p>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4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3024" w:type="dxa"/>
            <w:tcBorders>
              <w:top w:val="nil"/>
              <w:left w:val="nil"/>
              <w:bottom w:val="single" w:color="auto" w:sz="4" w:space="0"/>
              <w:right w:val="single" w:color="auto" w:sz="4" w:space="0"/>
            </w:tcBorders>
            <w:vAlign w:val="center"/>
          </w:tcPr>
          <w:p>
            <w:pPr>
              <w:widowControl/>
              <w:adjustRightInd w:val="0"/>
              <w:snapToGrid w:val="0"/>
              <w:spacing w:line="440" w:lineRule="exact"/>
              <w:jc w:val="left"/>
              <w:rPr>
                <w:rFonts w:ascii="宋体" w:hAnsi="宋体" w:eastAsia="宋体" w:cs="宋体"/>
                <w:kern w:val="0"/>
                <w:sz w:val="24"/>
              </w:rPr>
            </w:pPr>
            <w:r>
              <w:rPr>
                <w:rFonts w:hint="eastAsia" w:ascii="宋体" w:hAnsi="宋体" w:eastAsia="宋体" w:cs="宋体"/>
                <w:kern w:val="0"/>
                <w:sz w:val="24"/>
              </w:rPr>
              <w:t>确定检材笔迹的形成方式，并比对检材笔迹与样本笔迹是否为同一人书写。此处检材笔迹是指需要进行鉴定的可疑笔迹。</w:t>
            </w:r>
          </w:p>
        </w:tc>
        <w:tc>
          <w:tcPr>
            <w:tcW w:w="3156" w:type="dxa"/>
            <w:vMerge w:val="restart"/>
            <w:tcBorders>
              <w:top w:val="nil"/>
              <w:left w:val="nil"/>
              <w:right w:val="single" w:color="auto" w:sz="4" w:space="0"/>
            </w:tcBorders>
            <w:vAlign w:val="center"/>
          </w:tcPr>
          <w:p>
            <w:pPr>
              <w:adjustRightInd/>
              <w:snapToGrid/>
              <w:spacing w:line="440" w:lineRule="exact"/>
              <w:jc w:val="both"/>
              <w:rPr>
                <w:rFonts w:ascii="宋体" w:hAnsi="宋体" w:eastAsia="宋体"/>
                <w:b/>
                <w:kern w:val="0"/>
                <w:sz w:val="24"/>
                <w:u w:val="single"/>
              </w:rPr>
            </w:pPr>
            <w:r>
              <w:rPr>
                <w:rFonts w:hint="eastAsia" w:ascii="宋体" w:hAnsi="宋体" w:eastAsia="宋体"/>
                <w:kern w:val="2"/>
                <w:sz w:val="24"/>
              </w:rPr>
              <w:t>一、涉及财产的单个检材文书物证鉴定，标的额不超过100万元（含）的，按表列标准执行；标的额超过100万元至200万元（含）的部分，按照1%收取；超过200万元至500万元（含）的部分，按照0.4%收取；超过500万元至1000万元（含）的部分，</w:t>
            </w:r>
          </w:p>
        </w:tc>
      </w:tr>
      <w:tr>
        <w:tblPrEx>
          <w:tblLayout w:type="fixed"/>
          <w:tblCellMar>
            <w:top w:w="0" w:type="dxa"/>
            <w:left w:w="108" w:type="dxa"/>
            <w:bottom w:w="0" w:type="dxa"/>
            <w:right w:w="108" w:type="dxa"/>
          </w:tblCellMar>
        </w:tblPrEx>
        <w:trPr>
          <w:trHeight w:val="44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eastAsia"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kern w:val="0"/>
                <w:sz w:val="24"/>
              </w:rPr>
            </w:pPr>
            <w:r>
              <w:rPr>
                <w:rFonts w:hint="eastAsia" w:ascii="宋体" w:hAnsi="宋体" w:eastAsia="宋体" w:cs="宋体"/>
                <w:kern w:val="0"/>
                <w:sz w:val="24"/>
              </w:rPr>
              <w:t>印章印文鉴定</w:t>
            </w:r>
          </w:p>
        </w:tc>
        <w:tc>
          <w:tcPr>
            <w:tcW w:w="843" w:type="dxa"/>
            <w:tcBorders>
              <w:top w:val="nil"/>
              <w:left w:val="nil"/>
              <w:bottom w:val="single" w:color="auto" w:sz="4" w:space="0"/>
              <w:right w:val="single" w:color="auto" w:sz="4" w:space="0"/>
            </w:tcBorders>
            <w:vAlign w:val="center"/>
          </w:tcPr>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检材</w:t>
            </w:r>
          </w:p>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4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3024" w:type="dxa"/>
            <w:tcBorders>
              <w:top w:val="nil"/>
              <w:left w:val="nil"/>
              <w:bottom w:val="single" w:color="auto" w:sz="4" w:space="0"/>
              <w:right w:val="single" w:color="auto" w:sz="4" w:space="0"/>
            </w:tcBorders>
            <w:vAlign w:val="center"/>
          </w:tcPr>
          <w:p>
            <w:pPr>
              <w:widowControl/>
              <w:adjustRightInd w:val="0"/>
              <w:snapToGrid w:val="0"/>
              <w:spacing w:line="440" w:lineRule="exact"/>
              <w:jc w:val="left"/>
              <w:rPr>
                <w:rFonts w:ascii="宋体" w:hAnsi="宋体" w:eastAsia="宋体" w:cs="宋体"/>
                <w:kern w:val="0"/>
                <w:sz w:val="24"/>
              </w:rPr>
            </w:pPr>
            <w:r>
              <w:rPr>
                <w:rFonts w:hint="eastAsia" w:ascii="宋体" w:hAnsi="宋体" w:eastAsia="宋体" w:cs="宋体"/>
                <w:kern w:val="0"/>
                <w:sz w:val="24"/>
              </w:rPr>
              <w:t>判断检材上的印文是否通过印章直接盖印形成，并比对检材印文与样本印文是否为同一枚印章盖印。</w:t>
            </w:r>
          </w:p>
        </w:tc>
        <w:tc>
          <w:tcPr>
            <w:tcW w:w="315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440" w:lineRule="exact"/>
              <w:jc w:val="lef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58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eastAsia" w:ascii="宋体" w:hAnsi="宋体" w:eastAsia="宋体" w:cs="宋体"/>
                <w:kern w:val="0"/>
                <w:sz w:val="24"/>
              </w:rPr>
            </w:pPr>
            <w:r>
              <w:rPr>
                <w:rFonts w:hint="eastAsia" w:ascii="宋体" w:hAnsi="宋体" w:eastAsia="宋体" w:cs="宋体"/>
                <w:kern w:val="0"/>
                <w:sz w:val="24"/>
              </w:rPr>
              <w:t>3</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宋体" w:hAnsi="宋体" w:eastAsia="宋体" w:cs="宋体"/>
                <w:kern w:val="0"/>
                <w:sz w:val="24"/>
              </w:rPr>
            </w:pPr>
            <w:r>
              <w:rPr>
                <w:rFonts w:hint="eastAsia" w:ascii="宋体" w:hAnsi="宋体" w:eastAsia="宋体" w:cs="宋体"/>
                <w:kern w:val="0"/>
                <w:sz w:val="24"/>
              </w:rPr>
              <w:t>印刷文件同一性、同源性鉴定</w:t>
            </w:r>
          </w:p>
        </w:tc>
        <w:tc>
          <w:tcPr>
            <w:tcW w:w="843" w:type="dxa"/>
            <w:tcBorders>
              <w:top w:val="single" w:color="auto" w:sz="4" w:space="0"/>
              <w:left w:val="nil"/>
              <w:bottom w:val="single" w:color="auto" w:sz="4" w:space="0"/>
              <w:right w:val="single" w:color="auto" w:sz="4" w:space="0"/>
            </w:tcBorders>
            <w:vAlign w:val="center"/>
          </w:tcPr>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检材</w:t>
            </w:r>
          </w:p>
          <w:p>
            <w:pPr>
              <w:pStyle w:val="7"/>
              <w:spacing w:line="440" w:lineRule="exact"/>
              <w:jc w:val="center"/>
              <w:rPr>
                <w:rFonts w:hint="eastAsia" w:ascii="宋体" w:hAnsi="宋体" w:eastAsia="宋体"/>
                <w:kern w:val="0"/>
                <w:sz w:val="24"/>
                <w:szCs w:val="24"/>
              </w:rPr>
            </w:pPr>
            <w:r>
              <w:rPr>
                <w:rFonts w:hint="eastAsia" w:ascii="宋体" w:hAnsi="宋体" w:eastAsia="宋体"/>
                <w:kern w:val="0"/>
                <w:sz w:val="24"/>
                <w:szCs w:val="24"/>
              </w:rPr>
              <w:t>·项</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3024"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left"/>
              <w:rPr>
                <w:rFonts w:ascii="宋体" w:hAnsi="宋体" w:eastAsia="宋体" w:cs="宋体"/>
                <w:kern w:val="0"/>
                <w:sz w:val="24"/>
              </w:rPr>
            </w:pPr>
            <w:r>
              <w:rPr>
                <w:rFonts w:hint="eastAsia" w:ascii="宋体" w:hAnsi="宋体" w:eastAsia="宋体" w:cs="宋体"/>
                <w:kern w:val="0"/>
                <w:sz w:val="24"/>
              </w:rPr>
              <w:t>在判断检材文件是通过何种办公机具或印刷机具制作的基础上，判断检材文件自身的不同部分，或判断检材文件与比对样本，是否为同一台机具制作。</w:t>
            </w:r>
          </w:p>
        </w:tc>
        <w:tc>
          <w:tcPr>
            <w:tcW w:w="3156" w:type="dxa"/>
            <w:vMerge w:val="restart"/>
            <w:tcBorders>
              <w:top w:val="single" w:color="auto" w:sz="4" w:space="0"/>
              <w:left w:val="nil"/>
              <w:right w:val="single" w:color="auto" w:sz="4" w:space="0"/>
            </w:tcBorders>
            <w:vAlign w:val="center"/>
          </w:tcPr>
          <w:p>
            <w:pPr>
              <w:adjustRightInd/>
              <w:snapToGrid/>
              <w:spacing w:line="440" w:lineRule="exact"/>
              <w:jc w:val="both"/>
              <w:rPr>
                <w:rFonts w:hint="eastAsia" w:ascii="宋体" w:hAnsi="宋体" w:eastAsia="宋体"/>
                <w:kern w:val="2"/>
                <w:sz w:val="24"/>
              </w:rPr>
            </w:pPr>
            <w:r>
              <w:rPr>
                <w:rFonts w:hint="eastAsia" w:ascii="宋体" w:hAnsi="宋体" w:eastAsia="宋体"/>
                <w:kern w:val="2"/>
                <w:sz w:val="24"/>
              </w:rPr>
              <w:t>按照0.2%收取；超过1000万元的部分，按照0.1%收取，文书物证司法鉴定单个检材最高收费金额不得超过5万元。</w:t>
            </w:r>
            <w:r>
              <w:rPr>
                <w:rFonts w:hint="eastAsia" w:ascii="宋体" w:hAnsi="宋体" w:eastAsia="宋体"/>
                <w:kern w:val="2"/>
                <w:sz w:val="24"/>
              </w:rPr>
              <w:br w:type="textWrapping"/>
            </w:r>
            <w:r>
              <w:rPr>
                <w:rFonts w:hint="eastAsia" w:ascii="宋体" w:hAnsi="宋体" w:eastAsia="宋体"/>
                <w:kern w:val="2"/>
                <w:sz w:val="24"/>
              </w:rPr>
              <w:t>二、涉及财产的多个检材</w:t>
            </w:r>
            <w:r>
              <w:rPr>
                <w:rFonts w:hint="eastAsia" w:ascii="宋体" w:hAnsi="宋体" w:eastAsia="宋体"/>
                <w:sz w:val="24"/>
              </w:rPr>
              <w:t>文书物证</w:t>
            </w:r>
            <w:r>
              <w:rPr>
                <w:rFonts w:hint="eastAsia" w:ascii="宋体" w:hAnsi="宋体" w:eastAsia="宋体"/>
                <w:kern w:val="2"/>
                <w:sz w:val="24"/>
              </w:rPr>
              <w:t>鉴定，从第二个检材开始按不超过表列标准50%进行收费。</w:t>
            </w:r>
          </w:p>
          <w:p>
            <w:pPr>
              <w:adjustRightInd/>
              <w:snapToGrid/>
              <w:spacing w:line="440" w:lineRule="exact"/>
              <w:jc w:val="both"/>
              <w:rPr>
                <w:rFonts w:ascii="宋体" w:hAnsi="宋体" w:eastAsia="宋体" w:cs="宋体"/>
                <w:kern w:val="0"/>
                <w:sz w:val="24"/>
              </w:rPr>
            </w:pPr>
            <w:r>
              <w:rPr>
                <w:rFonts w:hint="eastAsia" w:ascii="宋体" w:hAnsi="宋体" w:eastAsia="宋体"/>
                <w:kern w:val="2"/>
                <w:sz w:val="24"/>
              </w:rPr>
              <w:t>三、标的额为诉讼标的和鉴定标的两者中的较小值。</w:t>
            </w:r>
            <w:r>
              <w:rPr>
                <w:rFonts w:hint="eastAsia" w:ascii="宋体" w:hAnsi="宋体" w:eastAsia="宋体"/>
                <w:kern w:val="0"/>
                <w:sz w:val="24"/>
              </w:rPr>
              <w:t>　</w:t>
            </w:r>
          </w:p>
        </w:tc>
      </w:tr>
      <w:tr>
        <w:tblPrEx>
          <w:tblLayout w:type="fixed"/>
          <w:tblCellMar>
            <w:top w:w="0" w:type="dxa"/>
            <w:left w:w="108" w:type="dxa"/>
            <w:bottom w:w="0" w:type="dxa"/>
            <w:right w:w="108" w:type="dxa"/>
          </w:tblCellMar>
        </w:tblPrEx>
        <w:trPr>
          <w:trHeight w:val="365"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变造文件鉴定</w:t>
            </w:r>
          </w:p>
        </w:tc>
        <w:tc>
          <w:tcPr>
            <w:tcW w:w="843" w:type="dxa"/>
            <w:tcBorders>
              <w:top w:val="nil"/>
              <w:left w:val="nil"/>
              <w:bottom w:val="single" w:color="auto" w:sz="4" w:space="0"/>
              <w:right w:val="single" w:color="auto" w:sz="4" w:space="0"/>
            </w:tcBorders>
            <w:vAlign w:val="center"/>
          </w:tcPr>
          <w:p>
            <w:pPr>
              <w:pStyle w:val="7"/>
              <w:spacing w:line="400" w:lineRule="exact"/>
              <w:jc w:val="center"/>
              <w:rPr>
                <w:rFonts w:hint="eastAsia" w:ascii="宋体" w:hAnsi="宋体" w:eastAsia="宋体"/>
                <w:kern w:val="0"/>
                <w:sz w:val="24"/>
                <w:szCs w:val="24"/>
              </w:rPr>
            </w:pPr>
            <w:r>
              <w:rPr>
                <w:rFonts w:hint="eastAsia" w:ascii="宋体" w:hAnsi="宋体" w:eastAsia="宋体"/>
                <w:kern w:val="0"/>
                <w:sz w:val="24"/>
                <w:szCs w:val="24"/>
              </w:rPr>
              <w:t>检材</w:t>
            </w:r>
          </w:p>
          <w:p>
            <w:pPr>
              <w:pStyle w:val="7"/>
              <w:spacing w:line="400" w:lineRule="exact"/>
              <w:jc w:val="center"/>
              <w:rPr>
                <w:rFonts w:hint="eastAsia" w:ascii="宋体" w:hAnsi="宋体" w:eastAsia="宋体"/>
                <w:kern w:val="0"/>
                <w:sz w:val="24"/>
                <w:szCs w:val="24"/>
              </w:rPr>
            </w:pPr>
            <w:r>
              <w:rPr>
                <w:rFonts w:hint="eastAsia" w:ascii="宋体" w:hAnsi="宋体" w:eastAsia="宋体"/>
                <w:kern w:val="0"/>
                <w:sz w:val="24"/>
                <w:szCs w:val="24"/>
              </w:rPr>
              <w:t>·项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1200</w:t>
            </w:r>
          </w:p>
        </w:tc>
        <w:tc>
          <w:tcPr>
            <w:tcW w:w="3024"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eastAsia="宋体" w:cs="宋体"/>
                <w:kern w:val="0"/>
                <w:sz w:val="24"/>
              </w:rPr>
            </w:pPr>
            <w:r>
              <w:rPr>
                <w:rFonts w:hint="eastAsia" w:ascii="宋体" w:hAnsi="宋体" w:eastAsia="宋体" w:cs="宋体"/>
                <w:kern w:val="0"/>
                <w:sz w:val="24"/>
              </w:rPr>
              <w:t>鉴定检材文件是否存在人为添改、刮擦、消褪、掩盖、换页等情况。</w:t>
            </w:r>
          </w:p>
        </w:tc>
        <w:tc>
          <w:tcPr>
            <w:tcW w:w="3156" w:type="dxa"/>
            <w:vMerge w:val="continue"/>
            <w:tcBorders>
              <w:left w:val="nil"/>
              <w:right w:val="single" w:color="auto" w:sz="4" w:space="0"/>
            </w:tcBorders>
            <w:vAlign w:val="center"/>
          </w:tcPr>
          <w:p>
            <w:pPr>
              <w:adjustRightInd w:val="0"/>
              <w:snapToGrid w:val="0"/>
              <w:spacing w:line="400" w:lineRule="exact"/>
              <w:jc w:val="lef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353"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朱墨时序鉴定</w:t>
            </w:r>
          </w:p>
        </w:tc>
        <w:tc>
          <w:tcPr>
            <w:tcW w:w="843" w:type="dxa"/>
            <w:tcBorders>
              <w:top w:val="nil"/>
              <w:left w:val="nil"/>
              <w:bottom w:val="single" w:color="auto" w:sz="4" w:space="0"/>
              <w:right w:val="single" w:color="auto" w:sz="4" w:space="0"/>
            </w:tcBorders>
            <w:vAlign w:val="center"/>
          </w:tcPr>
          <w:p>
            <w:pPr>
              <w:pStyle w:val="7"/>
              <w:spacing w:line="400" w:lineRule="exact"/>
              <w:jc w:val="center"/>
              <w:rPr>
                <w:rFonts w:hint="eastAsia" w:ascii="宋体" w:hAnsi="宋体" w:eastAsia="宋体"/>
                <w:kern w:val="0"/>
                <w:sz w:val="24"/>
                <w:szCs w:val="24"/>
              </w:rPr>
            </w:pPr>
            <w:r>
              <w:rPr>
                <w:rFonts w:hint="eastAsia" w:ascii="宋体" w:hAnsi="宋体" w:eastAsia="宋体"/>
                <w:kern w:val="0"/>
                <w:sz w:val="24"/>
                <w:szCs w:val="24"/>
              </w:rPr>
              <w:t>检材</w:t>
            </w:r>
          </w:p>
          <w:p>
            <w:pPr>
              <w:pStyle w:val="7"/>
              <w:spacing w:line="400" w:lineRule="exact"/>
              <w:jc w:val="center"/>
              <w:rPr>
                <w:rFonts w:hint="eastAsia" w:ascii="宋体" w:hAnsi="宋体" w:eastAsia="宋体"/>
                <w:kern w:val="0"/>
                <w:sz w:val="24"/>
                <w:szCs w:val="24"/>
              </w:rPr>
            </w:pPr>
            <w:r>
              <w:rPr>
                <w:rFonts w:hint="eastAsia" w:ascii="宋体" w:hAnsi="宋体" w:eastAsia="宋体"/>
                <w:kern w:val="0"/>
                <w:sz w:val="24"/>
                <w:szCs w:val="24"/>
              </w:rPr>
              <w:t>·项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3024" w:type="dxa"/>
            <w:tcBorders>
              <w:top w:val="nil"/>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eastAsia="宋体" w:cs="宋体"/>
                <w:kern w:val="0"/>
                <w:sz w:val="24"/>
              </w:rPr>
            </w:pPr>
            <w:r>
              <w:rPr>
                <w:rFonts w:hint="eastAsia" w:ascii="宋体" w:hAnsi="宋体" w:eastAsia="宋体" w:cs="宋体"/>
                <w:kern w:val="0"/>
                <w:sz w:val="24"/>
              </w:rPr>
              <w:t>判断有交叉的印文与印文、印文与文字、文字与文字形成的先后顺序。</w:t>
            </w:r>
          </w:p>
        </w:tc>
        <w:tc>
          <w:tcPr>
            <w:tcW w:w="3156" w:type="dxa"/>
            <w:vMerge w:val="continue"/>
            <w:tcBorders>
              <w:left w:val="nil"/>
              <w:bottom w:val="single" w:color="auto" w:sz="4" w:space="0"/>
              <w:right w:val="single" w:color="auto" w:sz="4" w:space="0"/>
            </w:tcBorders>
            <w:vAlign w:val="center"/>
          </w:tcPr>
          <w:p>
            <w:pPr>
              <w:widowControl/>
              <w:adjustRightInd w:val="0"/>
              <w:snapToGrid w:val="0"/>
              <w:spacing w:line="400" w:lineRule="exact"/>
              <w:jc w:val="left"/>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24" w:hRule="atLeast"/>
          <w:jc w:val="center"/>
        </w:trPr>
        <w:tc>
          <w:tcPr>
            <w:tcW w:w="6708" w:type="dxa"/>
            <w:gridSpan w:val="5"/>
            <w:tcBorders>
              <w:left w:val="nil"/>
              <w:bottom w:val="single" w:color="auto" w:sz="4" w:space="0"/>
              <w:right w:val="nil"/>
            </w:tcBorders>
            <w:vAlign w:val="center"/>
          </w:tcPr>
          <w:p>
            <w:pPr>
              <w:widowControl/>
              <w:adjustRightInd w:val="0"/>
              <w:snapToGrid w:val="0"/>
              <w:spacing w:line="380" w:lineRule="exact"/>
              <w:jc w:val="left"/>
              <w:rPr>
                <w:rFonts w:ascii="宋体" w:hAnsi="宋体" w:eastAsia="宋体" w:cs="宋体"/>
                <w:kern w:val="0"/>
                <w:sz w:val="24"/>
              </w:rPr>
            </w:pPr>
            <w:r>
              <w:rPr>
                <w:rFonts w:hint="eastAsia" w:ascii="宋体" w:hAnsi="宋体" w:eastAsia="宋体" w:cs="宋体"/>
                <w:kern w:val="0"/>
                <w:sz w:val="24"/>
              </w:rPr>
              <w:t>（八）痕迹物证鉴定项目（8项）</w:t>
            </w:r>
          </w:p>
        </w:tc>
        <w:tc>
          <w:tcPr>
            <w:tcW w:w="3156" w:type="dxa"/>
            <w:tcBorders>
              <w:top w:val="nil"/>
              <w:left w:val="nil"/>
              <w:bottom w:val="nil"/>
              <w:right w:val="nil"/>
            </w:tcBorders>
            <w:vAlign w:val="center"/>
          </w:tcPr>
          <w:p>
            <w:pPr>
              <w:widowControl/>
              <w:adjustRightInd w:val="0"/>
              <w:snapToGrid w:val="0"/>
              <w:spacing w:line="380" w:lineRule="exact"/>
              <w:jc w:val="center"/>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25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手印同一认定</w:t>
            </w:r>
          </w:p>
        </w:tc>
        <w:tc>
          <w:tcPr>
            <w:tcW w:w="843" w:type="dxa"/>
            <w:tcBorders>
              <w:top w:val="nil"/>
              <w:left w:val="nil"/>
              <w:bottom w:val="single" w:color="auto" w:sz="4" w:space="0"/>
              <w:right w:val="single" w:color="auto" w:sz="4" w:space="0"/>
            </w:tcBorders>
            <w:vAlign w:val="center"/>
          </w:tcPr>
          <w:p>
            <w:pPr>
              <w:pStyle w:val="7"/>
              <w:spacing w:line="380" w:lineRule="exact"/>
              <w:rPr>
                <w:rFonts w:hint="eastAsia" w:ascii="宋体" w:hAnsi="宋体" w:eastAsia="宋体"/>
                <w:kern w:val="0"/>
                <w:sz w:val="24"/>
                <w:szCs w:val="24"/>
              </w:rPr>
            </w:pPr>
            <w:r>
              <w:rPr>
                <w:rFonts w:hint="eastAsia" w:ascii="宋体" w:hAnsi="宋体" w:eastAsia="宋体"/>
                <w:kern w:val="0"/>
                <w:sz w:val="24"/>
                <w:szCs w:val="24"/>
              </w:rPr>
              <w:t>检材</w:t>
            </w:r>
          </w:p>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kern w:val="0"/>
                <w:sz w:val="24"/>
              </w:rPr>
              <w:t>·项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hint="eastAsia" w:ascii="宋体" w:hAnsi="宋体" w:eastAsia="宋体" w:cs="宋体"/>
                <w:kern w:val="0"/>
                <w:sz w:val="24"/>
              </w:rPr>
            </w:pPr>
            <w:r>
              <w:rPr>
                <w:rFonts w:hint="eastAsia" w:ascii="宋体" w:hAnsi="宋体" w:eastAsia="宋体" w:cs="宋体"/>
                <w:kern w:val="0"/>
                <w:sz w:val="24"/>
              </w:rPr>
              <w:t>判断检材上的手印与比对样本是否属于同一人。手印包括指印、掌印和其它手部皮肤纹印。</w:t>
            </w:r>
          </w:p>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涉及财产案件，其收费办法参照“（七）文书物证鉴定项目”释义及备注栏中的相关规定执行。　</w:t>
            </w:r>
          </w:p>
        </w:tc>
      </w:tr>
      <w:tr>
        <w:tblPrEx>
          <w:tblLayout w:type="fixed"/>
          <w:tblCellMar>
            <w:top w:w="0" w:type="dxa"/>
            <w:left w:w="108" w:type="dxa"/>
            <w:bottom w:w="0" w:type="dxa"/>
            <w:right w:w="108" w:type="dxa"/>
          </w:tblCellMar>
        </w:tblPrEx>
        <w:trPr>
          <w:trHeight w:val="180"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足迹鉴定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枚</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600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对足迹进行分析，推断行为人特征；认定检材足迹与样本足迹是否属于同一人。</w:t>
            </w:r>
          </w:p>
        </w:tc>
      </w:tr>
      <w:tr>
        <w:tblPrEx>
          <w:tblLayout w:type="fixed"/>
          <w:tblCellMar>
            <w:top w:w="0" w:type="dxa"/>
            <w:left w:w="108" w:type="dxa"/>
            <w:bottom w:w="0" w:type="dxa"/>
            <w:right w:w="108" w:type="dxa"/>
          </w:tblCellMar>
        </w:tblPrEx>
        <w:trPr>
          <w:trHeight w:val="20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工具痕迹鉴定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个</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对工具遗留的痕迹进行分析，作种属认定即判断痕迹由何种工具形成，或作同一认定即判断痕迹是否由某一特定工具形成。　</w:t>
            </w:r>
          </w:p>
        </w:tc>
      </w:tr>
      <w:tr>
        <w:tblPrEx>
          <w:tblLayout w:type="fixed"/>
          <w:tblCellMar>
            <w:top w:w="0" w:type="dxa"/>
            <w:left w:w="108" w:type="dxa"/>
            <w:bottom w:w="0" w:type="dxa"/>
            <w:right w:w="108" w:type="dxa"/>
          </w:tblCellMar>
        </w:tblPrEx>
        <w:trPr>
          <w:trHeight w:val="23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eastAsia="宋体" w:cs="宋体"/>
                <w:kern w:val="0"/>
                <w:sz w:val="24"/>
              </w:rPr>
            </w:pPr>
            <w:r>
              <w:rPr>
                <w:rFonts w:hint="eastAsia" w:ascii="宋体" w:hAnsi="宋体" w:eastAsia="宋体" w:cs="宋体"/>
                <w:kern w:val="0"/>
                <w:sz w:val="24"/>
              </w:rPr>
              <w:t>弹头弹壳痕迹鉴定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个</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spacing w:line="380" w:lineRule="exact"/>
              <w:rPr>
                <w:rFonts w:hint="eastAsia" w:ascii="宋体" w:hAnsi="宋体" w:eastAsia="宋体" w:cs="宋体"/>
                <w:kern w:val="0"/>
                <w:sz w:val="24"/>
              </w:rPr>
            </w:pPr>
            <w:r>
              <w:rPr>
                <w:rFonts w:hint="eastAsia" w:ascii="宋体" w:hAnsi="宋体" w:eastAsia="宋体" w:cs="宋体"/>
                <w:kern w:val="0"/>
                <w:sz w:val="24"/>
              </w:rPr>
              <w:t>对弹头弹壳上的痕迹进行检验，以判明、区分弹种、枪种，认定发射枪支。</w:t>
            </w:r>
          </w:p>
        </w:tc>
      </w:tr>
      <w:tr>
        <w:tblPrEx>
          <w:tblLayout w:type="fixed"/>
          <w:tblCellMar>
            <w:top w:w="0" w:type="dxa"/>
            <w:left w:w="108" w:type="dxa"/>
            <w:bottom w:w="0" w:type="dxa"/>
            <w:right w:w="108" w:type="dxa"/>
          </w:tblCellMar>
        </w:tblPrEx>
        <w:trPr>
          <w:trHeight w:val="23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eastAsia="宋体" w:cs="宋体"/>
                <w:kern w:val="0"/>
                <w:sz w:val="24"/>
              </w:rPr>
            </w:pPr>
            <w:r>
              <w:rPr>
                <w:rFonts w:hint="eastAsia" w:ascii="宋体" w:hAnsi="宋体" w:eastAsia="宋体" w:cs="宋体"/>
                <w:kern w:val="0"/>
                <w:sz w:val="24"/>
              </w:rPr>
              <w:t>枪支性能及致伤力鉴定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支</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900</w:t>
            </w:r>
          </w:p>
        </w:tc>
        <w:tc>
          <w:tcPr>
            <w:tcW w:w="6180" w:type="dxa"/>
            <w:gridSpan w:val="2"/>
            <w:tcBorders>
              <w:top w:val="nil"/>
              <w:left w:val="nil"/>
              <w:bottom w:val="single" w:color="auto" w:sz="4" w:space="0"/>
              <w:right w:val="single" w:color="auto" w:sz="4" w:space="0"/>
            </w:tcBorders>
            <w:vAlign w:val="center"/>
          </w:tcPr>
          <w:p>
            <w:pPr>
              <w:widowControl/>
              <w:spacing w:line="380" w:lineRule="exact"/>
              <w:rPr>
                <w:rFonts w:hint="eastAsia" w:ascii="宋体" w:hAnsi="宋体" w:eastAsia="宋体" w:cs="宋体"/>
                <w:kern w:val="0"/>
                <w:sz w:val="24"/>
              </w:rPr>
            </w:pPr>
            <w:r>
              <w:rPr>
                <w:rFonts w:hint="eastAsia" w:ascii="宋体" w:hAnsi="宋体" w:eastAsia="宋体" w:cs="宋体"/>
                <w:kern w:val="0"/>
                <w:sz w:val="24"/>
              </w:rPr>
              <w:t>检验、鉴定枪支的性能及其致伤力</w:t>
            </w:r>
          </w:p>
        </w:tc>
      </w:tr>
      <w:tr>
        <w:tblPrEx>
          <w:tblLayout w:type="fixed"/>
          <w:tblCellMar>
            <w:top w:w="0" w:type="dxa"/>
            <w:left w:w="108" w:type="dxa"/>
            <w:bottom w:w="0" w:type="dxa"/>
            <w:right w:w="108" w:type="dxa"/>
          </w:tblCellMar>
        </w:tblPrEx>
        <w:trPr>
          <w:trHeight w:val="169"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6</w:t>
            </w:r>
          </w:p>
        </w:tc>
        <w:tc>
          <w:tcPr>
            <w:tcW w:w="1290"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eastAsia="宋体" w:cs="宋体"/>
                <w:kern w:val="0"/>
                <w:sz w:val="24"/>
              </w:rPr>
            </w:pPr>
            <w:r>
              <w:rPr>
                <w:rFonts w:hint="eastAsia" w:ascii="宋体" w:hAnsi="宋体" w:eastAsia="宋体" w:cs="宋体"/>
                <w:kern w:val="0"/>
                <w:sz w:val="24"/>
              </w:rPr>
              <w:t>弹道分析鉴定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900</w:t>
            </w:r>
          </w:p>
        </w:tc>
        <w:tc>
          <w:tcPr>
            <w:tcW w:w="6180" w:type="dxa"/>
            <w:gridSpan w:val="2"/>
            <w:tcBorders>
              <w:top w:val="nil"/>
              <w:left w:val="nil"/>
              <w:bottom w:val="single" w:color="auto" w:sz="4" w:space="0"/>
              <w:right w:val="single" w:color="auto" w:sz="4" w:space="0"/>
            </w:tcBorders>
            <w:vAlign w:val="center"/>
          </w:tcPr>
          <w:p>
            <w:pPr>
              <w:widowControl/>
              <w:spacing w:line="380" w:lineRule="exact"/>
              <w:rPr>
                <w:rFonts w:hint="eastAsia" w:ascii="宋体" w:hAnsi="宋体" w:eastAsia="宋体" w:cs="宋体"/>
                <w:kern w:val="0"/>
                <w:sz w:val="24"/>
              </w:rPr>
            </w:pPr>
            <w:r>
              <w:rPr>
                <w:rFonts w:hint="eastAsia" w:ascii="宋体" w:hAnsi="宋体" w:eastAsia="宋体" w:cs="宋体"/>
                <w:kern w:val="0"/>
                <w:sz w:val="24"/>
              </w:rPr>
              <w:t>分析射击弹道，推断射击方向、角度、弹着点、飞行路线、距离等。</w:t>
            </w:r>
          </w:p>
        </w:tc>
      </w:tr>
      <w:tr>
        <w:tblPrEx>
          <w:tblLayout w:type="fixed"/>
          <w:tblCellMar>
            <w:top w:w="0" w:type="dxa"/>
            <w:left w:w="108" w:type="dxa"/>
            <w:bottom w:w="0" w:type="dxa"/>
            <w:right w:w="108" w:type="dxa"/>
          </w:tblCellMar>
        </w:tblPrEx>
        <w:trPr>
          <w:trHeight w:val="44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7</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车辆轮迹鉴定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个</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1200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对以车辆轮胎和轮辋等车轮组成部件为造痕客体在不同承痕客体上形成的印迹进行检验、分析，对轮胎痕迹作种属认定或同一认定，推断车辆轮胎损坏原因及其与交通事故之间的关系，利用制动拖印推断车辆行驶速度，认定车辆碰撞点，鉴定车辆行驶状态，或作出其他推断、判断。</w:t>
            </w:r>
          </w:p>
        </w:tc>
      </w:tr>
      <w:tr>
        <w:tblPrEx>
          <w:tblLayout w:type="fixed"/>
          <w:tblCellMar>
            <w:top w:w="0" w:type="dxa"/>
            <w:left w:w="108" w:type="dxa"/>
            <w:bottom w:w="0" w:type="dxa"/>
            <w:right w:w="108" w:type="dxa"/>
          </w:tblCellMar>
        </w:tblPrEx>
        <w:trPr>
          <w:trHeight w:val="56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车辆痕迹鉴定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辆</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对以车辆为造痕客体在不同承痕客体上形成的印迹以及其他造痕客体在车辆上遗留的痕迹进行检验、分析，判断车辆品牌、类型，判断车辆是否发生过碰撞，判断车辆具体碰撞部位，判断车辆安全技术状况及其与交通事故之间的关系，推断道路交通事故参与者的交通行为方式（如驾乘关系、骑行或者推行、行人姿态等），或作出其他推断、判断。　</w:t>
            </w:r>
          </w:p>
        </w:tc>
      </w:tr>
      <w:tr>
        <w:tblPrEx>
          <w:tblLayout w:type="fixed"/>
          <w:tblCellMar>
            <w:top w:w="0" w:type="dxa"/>
            <w:left w:w="108" w:type="dxa"/>
            <w:bottom w:w="0" w:type="dxa"/>
            <w:right w:w="108" w:type="dxa"/>
          </w:tblCellMar>
        </w:tblPrEx>
        <w:trPr>
          <w:trHeight w:val="127" w:hRule="atLeast"/>
          <w:jc w:val="center"/>
        </w:trPr>
        <w:tc>
          <w:tcPr>
            <w:tcW w:w="9864" w:type="dxa"/>
            <w:gridSpan w:val="6"/>
            <w:tcBorders>
              <w:top w:val="nil"/>
              <w:left w:val="nil"/>
              <w:bottom w:val="single" w:color="auto" w:sz="4" w:space="0"/>
              <w:right w:val="nil"/>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（九）微量物证鉴定项目（2项）</w:t>
            </w: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收费</w:t>
            </w:r>
            <w:r>
              <w:rPr>
                <w:rFonts w:hint="eastAsia" w:ascii="宋体" w:hAnsi="宋体" w:eastAsia="宋体" w:cs="宋体"/>
                <w:b/>
                <w:bCs/>
                <w:kern w:val="0"/>
                <w:sz w:val="24"/>
              </w:rPr>
              <w:br w:type="textWrapping"/>
            </w: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94"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微量物证鉴定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300——1500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使用立体显微镜、偏振光显微镜等对样品进行物理形貌观察、取样及初步检验，并利用分光光度计、色谱仪、质谱仪等仪器设备对样品进行检验，进行定性、定量分析。</w:t>
            </w:r>
          </w:p>
        </w:tc>
      </w:tr>
      <w:tr>
        <w:tblPrEx>
          <w:tblLayout w:type="fixed"/>
          <w:tblCellMar>
            <w:top w:w="0" w:type="dxa"/>
            <w:left w:w="108" w:type="dxa"/>
            <w:bottom w:w="0" w:type="dxa"/>
            <w:right w:w="108" w:type="dxa"/>
          </w:tblCellMar>
        </w:tblPrEx>
        <w:trPr>
          <w:trHeight w:val="132"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检验结果的综合分析</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例</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900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综合分析、评判检验结果，作出结论。对多种方法检验结果进行综合分析，其过程较为复杂的，加收50%费用。</w:t>
            </w:r>
          </w:p>
        </w:tc>
      </w:tr>
      <w:tr>
        <w:tblPrEx>
          <w:tblLayout w:type="fixed"/>
          <w:tblCellMar>
            <w:top w:w="0" w:type="dxa"/>
            <w:left w:w="108" w:type="dxa"/>
            <w:bottom w:w="0" w:type="dxa"/>
            <w:right w:w="108" w:type="dxa"/>
          </w:tblCellMar>
        </w:tblPrEx>
        <w:trPr>
          <w:trHeight w:val="115" w:hRule="atLeast"/>
          <w:jc w:val="center"/>
        </w:trPr>
        <w:tc>
          <w:tcPr>
            <w:tcW w:w="3684" w:type="dxa"/>
            <w:gridSpan w:val="4"/>
            <w:tcBorders>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r>
              <w:rPr>
                <w:rFonts w:hint="eastAsia" w:ascii="黑体" w:hAnsi="黑体" w:eastAsia="黑体" w:cs="宋体"/>
                <w:kern w:val="0"/>
                <w:sz w:val="28"/>
                <w:szCs w:val="28"/>
              </w:rPr>
              <w:t>三、声像资料及电子数据</w:t>
            </w:r>
          </w:p>
        </w:tc>
        <w:tc>
          <w:tcPr>
            <w:tcW w:w="3024" w:type="dxa"/>
            <w:tcBorders>
              <w:top w:val="nil"/>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p>
        </w:tc>
        <w:tc>
          <w:tcPr>
            <w:tcW w:w="3156" w:type="dxa"/>
            <w:tcBorders>
              <w:top w:val="nil"/>
              <w:left w:val="nil"/>
              <w:bottom w:val="nil"/>
              <w:right w:val="nil"/>
            </w:tcBorders>
            <w:vAlign w:val="center"/>
          </w:tcPr>
          <w:p>
            <w:pPr>
              <w:widowControl/>
              <w:adjustRightInd/>
              <w:snapToGrid/>
              <w:spacing w:line="440" w:lineRule="exact"/>
              <w:jc w:val="left"/>
              <w:rPr>
                <w:rFonts w:ascii="黑体" w:hAnsi="黑体" w:eastAsia="黑体" w:cs="宋体"/>
                <w:kern w:val="0"/>
                <w:sz w:val="28"/>
                <w:szCs w:val="28"/>
              </w:rPr>
            </w:pPr>
          </w:p>
        </w:tc>
      </w:tr>
      <w:tr>
        <w:tblPrEx>
          <w:tblLayout w:type="fixed"/>
          <w:tblCellMar>
            <w:top w:w="0" w:type="dxa"/>
            <w:left w:w="108" w:type="dxa"/>
            <w:bottom w:w="0" w:type="dxa"/>
            <w:right w:w="108" w:type="dxa"/>
          </w:tblCellMar>
        </w:tblPrEx>
        <w:trPr>
          <w:trHeight w:val="115" w:hRule="atLeast"/>
          <w:jc w:val="center"/>
        </w:trPr>
        <w:tc>
          <w:tcPr>
            <w:tcW w:w="9864" w:type="dxa"/>
            <w:gridSpan w:val="6"/>
            <w:tcBorders>
              <w:top w:val="nil"/>
              <w:left w:val="nil"/>
              <w:bottom w:val="single" w:color="auto" w:sz="4" w:space="0"/>
              <w:right w:val="nil"/>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（十）声像资料鉴定项目（15项）</w:t>
            </w:r>
          </w:p>
        </w:tc>
      </w:tr>
      <w:tr>
        <w:tblPrEx>
          <w:tblLayout w:type="fixed"/>
          <w:tblCellMar>
            <w:top w:w="0" w:type="dxa"/>
            <w:left w:w="108" w:type="dxa"/>
            <w:bottom w:w="0" w:type="dxa"/>
            <w:right w:w="108" w:type="dxa"/>
          </w:tblCellMar>
        </w:tblPrEx>
        <w:trPr>
          <w:trHeight w:val="177"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项  目</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单位</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b/>
                <w:bCs/>
                <w:kern w:val="0"/>
                <w:sz w:val="24"/>
              </w:rPr>
            </w:pPr>
            <w:r>
              <w:rPr>
                <w:rFonts w:hint="eastAsia" w:ascii="宋体" w:hAnsi="宋体" w:eastAsia="宋体" w:cs="宋体"/>
                <w:b/>
                <w:bCs/>
                <w:kern w:val="0"/>
                <w:sz w:val="24"/>
              </w:rPr>
              <w:t>收费</w:t>
            </w:r>
          </w:p>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b/>
                <w:bCs/>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23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录音资料中语音同一认定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判断检材录音资料中的语音和样本语音是否为同一人所说。对同一检材，每增加比对样本1人，加收50%的费用。　</w:t>
            </w:r>
          </w:p>
        </w:tc>
      </w:tr>
      <w:tr>
        <w:tblPrEx>
          <w:tblLayout w:type="fixed"/>
          <w:tblCellMar>
            <w:top w:w="0" w:type="dxa"/>
            <w:left w:w="108" w:type="dxa"/>
            <w:bottom w:w="0" w:type="dxa"/>
            <w:right w:w="108" w:type="dxa"/>
          </w:tblCellMar>
        </w:tblPrEx>
        <w:trPr>
          <w:trHeight w:val="4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录音内容辨听</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20分钟</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辨听录音资料，书面整理录音资料所反映的内容。一段录音不足20分钟的，按20分钟计。　</w:t>
            </w:r>
          </w:p>
        </w:tc>
      </w:tr>
      <w:tr>
        <w:tblPrEx>
          <w:tblLayout w:type="fixed"/>
          <w:tblCellMar>
            <w:top w:w="0" w:type="dxa"/>
            <w:left w:w="108" w:type="dxa"/>
            <w:bottom w:w="0" w:type="dxa"/>
            <w:right w:w="108" w:type="dxa"/>
          </w:tblCellMar>
        </w:tblPrEx>
        <w:trPr>
          <w:trHeight w:val="13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录音资料的真实性鉴定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ascii="宋体" w:hAnsi="宋体" w:eastAsia="宋体" w:cs="宋体"/>
                <w:kern w:val="0"/>
                <w:sz w:val="24"/>
              </w:rPr>
            </w:pPr>
            <w:r>
              <w:rPr>
                <w:rFonts w:hint="eastAsia" w:ascii="宋体" w:hAnsi="宋体" w:eastAsia="宋体" w:cs="宋体"/>
                <w:kern w:val="0"/>
                <w:sz w:val="24"/>
              </w:rPr>
              <w:t>20分钟</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8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80" w:lineRule="exact"/>
              <w:rPr>
                <w:rFonts w:ascii="宋体" w:hAnsi="宋体" w:eastAsia="宋体" w:cs="宋体"/>
                <w:kern w:val="0"/>
                <w:sz w:val="24"/>
              </w:rPr>
            </w:pPr>
            <w:r>
              <w:rPr>
                <w:rFonts w:hint="eastAsia" w:ascii="宋体" w:hAnsi="宋体" w:eastAsia="宋体" w:cs="宋体"/>
                <w:kern w:val="0"/>
                <w:sz w:val="24"/>
              </w:rPr>
              <w:t>即录音资料剪辑鉴定，检验、判断录音资料的连续性、完整性，以确定其是否经过后期剪辑等加工处理。一段录音不足20分钟的，按20分钟计。　</w:t>
            </w:r>
          </w:p>
        </w:tc>
      </w:tr>
      <w:tr>
        <w:tblPrEx>
          <w:tblLayout w:type="fixed"/>
          <w:tblCellMar>
            <w:top w:w="0" w:type="dxa"/>
            <w:left w:w="108" w:type="dxa"/>
            <w:bottom w:w="0" w:type="dxa"/>
            <w:right w:w="108" w:type="dxa"/>
          </w:tblCellMar>
        </w:tblPrEx>
        <w:trPr>
          <w:trHeight w:val="177"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录音资料的降噪及信号增强</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20分钟</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降低或清除噪声，提高目标声音信号强度。一段录音不足20分钟的，按20分钟计。　</w:t>
            </w:r>
          </w:p>
        </w:tc>
      </w:tr>
      <w:tr>
        <w:tblPrEx>
          <w:tblLayout w:type="fixed"/>
          <w:tblCellMar>
            <w:top w:w="0" w:type="dxa"/>
            <w:left w:w="108" w:type="dxa"/>
            <w:bottom w:w="0" w:type="dxa"/>
            <w:right w:w="108" w:type="dxa"/>
          </w:tblCellMar>
        </w:tblPrEx>
        <w:trPr>
          <w:trHeight w:val="23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5</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视频资料中人像同一认定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对</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判断检材视频资料中的人像和样本人像是否为同一人。对同一检材，每增加1人作为比对样本，加收50%的费用。　</w:t>
            </w:r>
          </w:p>
        </w:tc>
      </w:tr>
      <w:tr>
        <w:tblPrEx>
          <w:tblLayout w:type="fixed"/>
          <w:tblCellMar>
            <w:top w:w="0" w:type="dxa"/>
            <w:left w:w="108" w:type="dxa"/>
            <w:bottom w:w="0" w:type="dxa"/>
            <w:right w:w="108" w:type="dxa"/>
          </w:tblCellMar>
        </w:tblPrEx>
        <w:trPr>
          <w:trHeight w:val="23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6</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视频资料中物品同一认定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件</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判断检材视频资料中的物品和样本物品是否为同一物品。对同一检材，每增加1件物品作为比对样本，加收50%的费用。　</w:t>
            </w:r>
          </w:p>
        </w:tc>
      </w:tr>
      <w:tr>
        <w:tblPrEx>
          <w:tblLayout w:type="fixed"/>
          <w:tblCellMar>
            <w:top w:w="0" w:type="dxa"/>
            <w:left w:w="108" w:type="dxa"/>
            <w:bottom w:w="0" w:type="dxa"/>
            <w:right w:w="108" w:type="dxa"/>
          </w:tblCellMar>
        </w:tblPrEx>
        <w:trPr>
          <w:trHeight w:val="23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7</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视频资料的真实性鉴定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20分钟</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即视频资料剪辑鉴定，检验、判断视频资料的连续性和完整性，以确定其是否经过后期剪辑等加工处理。一段视频资料不足20分钟的，按20分钟计。　</w:t>
            </w:r>
          </w:p>
        </w:tc>
      </w:tr>
      <w:tr>
        <w:tblPrEx>
          <w:tblLayout w:type="fixed"/>
          <w:tblCellMar>
            <w:top w:w="0" w:type="dxa"/>
            <w:left w:w="108" w:type="dxa"/>
            <w:bottom w:w="0" w:type="dxa"/>
            <w:right w:w="108" w:type="dxa"/>
          </w:tblCellMar>
        </w:tblPrEx>
        <w:trPr>
          <w:trHeight w:val="14"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8</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视频资料的模糊图像处理</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20分钟</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对视频资料中的图像进行增强、校正、去模糊等处理，突出、复原需要的画面，提高视觉效果。一段视频资料不足20分钟的，按20分钟计。　</w:t>
            </w:r>
          </w:p>
        </w:tc>
      </w:tr>
      <w:tr>
        <w:tblPrEx>
          <w:tblLayout w:type="fixed"/>
          <w:tblCellMar>
            <w:top w:w="0" w:type="dxa"/>
            <w:left w:w="108" w:type="dxa"/>
            <w:bottom w:w="0" w:type="dxa"/>
            <w:right w:w="108" w:type="dxa"/>
          </w:tblCellMar>
        </w:tblPrEx>
        <w:trPr>
          <w:trHeight w:val="175"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9</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视频资料中车速鉴定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辆</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1800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基于视频资料中的车辆图像，计算目标车辆在某时段（时点）的行驶速度。　</w:t>
            </w:r>
          </w:p>
        </w:tc>
      </w:tr>
      <w:tr>
        <w:tblPrEx>
          <w:tblLayout w:type="fixed"/>
          <w:tblCellMar>
            <w:top w:w="0" w:type="dxa"/>
            <w:left w:w="108" w:type="dxa"/>
            <w:bottom w:w="0" w:type="dxa"/>
            <w:right w:w="108" w:type="dxa"/>
          </w:tblCellMar>
        </w:tblPrEx>
        <w:trPr>
          <w:trHeight w:val="31"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图片资料中人像同一认定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对</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判断检材图片资料中的人像和样本人像是否为同一人。对同一检材，每增加1人作为比对样本，加收50%的费用。此处“图片”仅指由照相形成的图像。　</w:t>
            </w:r>
          </w:p>
        </w:tc>
      </w:tr>
      <w:tr>
        <w:tblPrEx>
          <w:tblLayout w:type="fixed"/>
          <w:tblCellMar>
            <w:top w:w="0" w:type="dxa"/>
            <w:left w:w="108" w:type="dxa"/>
            <w:bottom w:w="0" w:type="dxa"/>
            <w:right w:w="108" w:type="dxa"/>
          </w:tblCellMar>
        </w:tblPrEx>
        <w:trPr>
          <w:trHeight w:val="20"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图片资料中物品同一认定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判断检材图片资料中的物品和样本物品是否为同一物品。对同一检材，每增加1件物品作为比对样本，加收50%的费用。此处“图片”仅指由照相形成的图像。　</w:t>
            </w:r>
          </w:p>
        </w:tc>
      </w:tr>
      <w:tr>
        <w:tblPrEx>
          <w:tblLayout w:type="fixed"/>
          <w:tblCellMar>
            <w:top w:w="0" w:type="dxa"/>
            <w:left w:w="108" w:type="dxa"/>
            <w:bottom w:w="0" w:type="dxa"/>
            <w:right w:w="108" w:type="dxa"/>
          </w:tblCellMar>
        </w:tblPrEx>
        <w:trPr>
          <w:trHeight w:val="29"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12</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图片资料的真实性鉴定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张</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检验、判断对图片（含数字图片和非数字图片）资料的完整性，以确定其是否经过后期剪辑等加工处理。　</w:t>
            </w:r>
          </w:p>
        </w:tc>
      </w:tr>
      <w:tr>
        <w:tblPrEx>
          <w:tblLayout w:type="fixed"/>
          <w:tblCellMar>
            <w:top w:w="0" w:type="dxa"/>
            <w:left w:w="108" w:type="dxa"/>
            <w:bottom w:w="0" w:type="dxa"/>
            <w:right w:w="108" w:type="dxa"/>
          </w:tblCellMar>
        </w:tblPrEx>
        <w:trPr>
          <w:trHeight w:val="231"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数字图片资料的原始性鉴定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张</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2000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检验数字图片资料自身固有的原始特性，判断其是否符合原始记载的特征。　</w:t>
            </w:r>
          </w:p>
        </w:tc>
      </w:tr>
      <w:tr>
        <w:tblPrEx>
          <w:tblLayout w:type="fixed"/>
          <w:tblCellMar>
            <w:top w:w="0" w:type="dxa"/>
            <w:left w:w="108" w:type="dxa"/>
            <w:bottom w:w="0" w:type="dxa"/>
            <w:right w:w="108" w:type="dxa"/>
          </w:tblCellMar>
        </w:tblPrEx>
        <w:trPr>
          <w:trHeight w:val="92"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图片资料的模糊图像处理</w:t>
            </w:r>
          </w:p>
        </w:tc>
        <w:tc>
          <w:tcPr>
            <w:tcW w:w="843"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张</w:t>
            </w:r>
          </w:p>
        </w:tc>
        <w:tc>
          <w:tcPr>
            <w:tcW w:w="1036"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对照相记载的图像进行增强、校正、去模糊等处理，突出、复原需要的画面，提高视觉效果。　</w:t>
            </w:r>
          </w:p>
        </w:tc>
      </w:tr>
      <w:tr>
        <w:tblPrEx>
          <w:tblLayout w:type="fixed"/>
          <w:tblCellMar>
            <w:top w:w="0" w:type="dxa"/>
            <w:left w:w="108" w:type="dxa"/>
            <w:bottom w:w="0" w:type="dxa"/>
            <w:right w:w="108" w:type="dxa"/>
          </w:tblCellMar>
        </w:tblPrEx>
        <w:trPr>
          <w:trHeight w:val="11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15</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图片资料的同源性鉴定</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kern w:val="0"/>
                <w:sz w:val="24"/>
              </w:rPr>
              <w:t>两份</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rPr>
                <w:rFonts w:ascii="宋体" w:hAnsi="宋体" w:eastAsia="宋体" w:cs="宋体"/>
                <w:kern w:val="0"/>
                <w:sz w:val="24"/>
              </w:rPr>
            </w:pPr>
            <w:r>
              <w:rPr>
                <w:rFonts w:hint="eastAsia" w:ascii="宋体" w:hAnsi="宋体" w:eastAsia="宋体" w:cs="宋体"/>
                <w:kern w:val="0"/>
                <w:sz w:val="24"/>
              </w:rPr>
              <w:t>判断两份图片资料记载的人、车辆、物品等形象是否源自于同一次的记录。每增加1份比对资料，加收50%的费用。　</w:t>
            </w:r>
          </w:p>
        </w:tc>
      </w:tr>
      <w:tr>
        <w:tblPrEx>
          <w:tblLayout w:type="fixed"/>
          <w:tblCellMar>
            <w:top w:w="0" w:type="dxa"/>
            <w:left w:w="108" w:type="dxa"/>
            <w:bottom w:w="0" w:type="dxa"/>
            <w:right w:w="108" w:type="dxa"/>
          </w:tblCellMar>
        </w:tblPrEx>
        <w:trPr>
          <w:trHeight w:val="121" w:hRule="atLeast"/>
          <w:jc w:val="center"/>
        </w:trPr>
        <w:tc>
          <w:tcPr>
            <w:tcW w:w="9864" w:type="dxa"/>
            <w:gridSpan w:val="6"/>
            <w:tcBorders>
              <w:top w:val="single" w:color="auto" w:sz="4" w:space="0"/>
              <w:left w:val="nil"/>
              <w:bottom w:val="single" w:color="auto" w:sz="4" w:space="0"/>
              <w:right w:val="nil"/>
            </w:tcBorders>
            <w:vAlign w:val="center"/>
          </w:tcPr>
          <w:p/>
        </w:tc>
      </w:tr>
      <w:tr>
        <w:tblPrEx>
          <w:tblLayout w:type="fixed"/>
          <w:tblCellMar>
            <w:top w:w="0" w:type="dxa"/>
            <w:left w:w="108" w:type="dxa"/>
            <w:bottom w:w="0" w:type="dxa"/>
            <w:right w:w="108" w:type="dxa"/>
          </w:tblCellMar>
        </w:tblPrEx>
        <w:trPr>
          <w:trHeight w:val="70" w:hRule="atLeast"/>
          <w:jc w:val="center"/>
        </w:trPr>
        <w:tc>
          <w:tcPr>
            <w:tcW w:w="515" w:type="dxa"/>
            <w:tcBorders>
              <w:top w:val="single" w:color="auto" w:sz="4" w:space="0"/>
            </w:tcBorders>
            <w:vAlign w:val="center"/>
          </w:tcPr>
          <w:p>
            <w:pPr>
              <w:widowControl/>
              <w:adjustRightInd w:val="0"/>
              <w:snapToGrid w:val="0"/>
              <w:spacing w:line="100" w:lineRule="exact"/>
              <w:jc w:val="center"/>
              <w:rPr>
                <w:rFonts w:ascii="宋体" w:hAnsi="宋体" w:eastAsia="宋体" w:cs="宋体"/>
                <w:b/>
                <w:bCs/>
                <w:kern w:val="0"/>
                <w:sz w:val="24"/>
              </w:rPr>
            </w:pPr>
          </w:p>
        </w:tc>
        <w:tc>
          <w:tcPr>
            <w:tcW w:w="1290" w:type="dxa"/>
            <w:tcBorders>
              <w:top w:val="single" w:color="auto" w:sz="4" w:space="0"/>
            </w:tcBorders>
            <w:vAlign w:val="center"/>
          </w:tcPr>
          <w:p>
            <w:pPr>
              <w:widowControl/>
              <w:adjustRightInd w:val="0"/>
              <w:snapToGrid w:val="0"/>
              <w:spacing w:line="100" w:lineRule="exact"/>
              <w:jc w:val="center"/>
              <w:rPr>
                <w:rFonts w:ascii="宋体" w:hAnsi="宋体" w:eastAsia="宋体" w:cs="宋体"/>
                <w:b/>
                <w:bCs/>
                <w:kern w:val="0"/>
                <w:sz w:val="24"/>
              </w:rPr>
            </w:pPr>
          </w:p>
        </w:tc>
        <w:tc>
          <w:tcPr>
            <w:tcW w:w="843" w:type="dxa"/>
            <w:tcBorders>
              <w:top w:val="single" w:color="auto" w:sz="4" w:space="0"/>
            </w:tcBorders>
            <w:vAlign w:val="center"/>
          </w:tcPr>
          <w:p>
            <w:pPr>
              <w:widowControl/>
              <w:adjustRightInd w:val="0"/>
              <w:snapToGrid w:val="0"/>
              <w:spacing w:line="100" w:lineRule="exact"/>
              <w:jc w:val="center"/>
              <w:rPr>
                <w:rFonts w:ascii="宋体" w:hAnsi="宋体" w:eastAsia="宋体" w:cs="宋体"/>
                <w:b/>
                <w:bCs/>
                <w:kern w:val="0"/>
                <w:sz w:val="24"/>
              </w:rPr>
            </w:pPr>
          </w:p>
        </w:tc>
        <w:tc>
          <w:tcPr>
            <w:tcW w:w="1036" w:type="dxa"/>
            <w:tcBorders>
              <w:top w:val="single" w:color="auto" w:sz="4" w:space="0"/>
            </w:tcBorders>
            <w:vAlign w:val="center"/>
          </w:tcPr>
          <w:p>
            <w:pPr>
              <w:widowControl/>
              <w:adjustRightInd w:val="0"/>
              <w:snapToGrid w:val="0"/>
              <w:spacing w:line="100" w:lineRule="exact"/>
              <w:jc w:val="center"/>
              <w:rPr>
                <w:rFonts w:ascii="宋体" w:hAnsi="宋体" w:eastAsia="宋体" w:cs="宋体"/>
                <w:b/>
                <w:bCs/>
                <w:kern w:val="0"/>
                <w:sz w:val="24"/>
              </w:rPr>
            </w:pPr>
          </w:p>
        </w:tc>
        <w:tc>
          <w:tcPr>
            <w:tcW w:w="6180" w:type="dxa"/>
            <w:gridSpan w:val="2"/>
            <w:tcBorders>
              <w:top w:val="single" w:color="auto" w:sz="4" w:space="0"/>
            </w:tcBorders>
            <w:vAlign w:val="center"/>
          </w:tcPr>
          <w:p>
            <w:pPr>
              <w:widowControl/>
              <w:adjustRightInd w:val="0"/>
              <w:snapToGrid w:val="0"/>
              <w:spacing w:line="100" w:lineRule="exact"/>
              <w:jc w:val="center"/>
              <w:rPr>
                <w:rFonts w:ascii="宋体" w:hAnsi="宋体" w:eastAsia="宋体" w:cs="宋体"/>
                <w:b/>
                <w:bCs/>
                <w:kern w:val="0"/>
                <w:sz w:val="24"/>
              </w:rPr>
            </w:pPr>
          </w:p>
        </w:tc>
      </w:tr>
      <w:tr>
        <w:tblPrEx>
          <w:tblLayout w:type="fixed"/>
          <w:tblCellMar>
            <w:top w:w="0" w:type="dxa"/>
            <w:left w:w="108" w:type="dxa"/>
            <w:bottom w:w="0" w:type="dxa"/>
            <w:right w:w="108" w:type="dxa"/>
          </w:tblCellMar>
        </w:tblPrEx>
        <w:trPr>
          <w:trHeight w:val="177" w:hRule="atLeast"/>
          <w:jc w:val="center"/>
        </w:trPr>
        <w:tc>
          <w:tcPr>
            <w:tcW w:w="9864" w:type="dxa"/>
            <w:gridSpan w:val="6"/>
            <w:vAlign w:val="center"/>
          </w:tcPr>
          <w:p>
            <w:pPr>
              <w:widowControl/>
              <w:adjustRightInd w:val="0"/>
              <w:snapToGrid w:val="0"/>
              <w:spacing w:line="360" w:lineRule="exact"/>
              <w:jc w:val="both"/>
              <w:rPr>
                <w:rFonts w:hint="eastAsia" w:ascii="宋体" w:hAnsi="宋体" w:eastAsia="宋体" w:cs="宋体"/>
                <w:b w:val="0"/>
                <w:bCs w:val="0"/>
                <w:kern w:val="0"/>
                <w:sz w:val="24"/>
              </w:rPr>
            </w:pPr>
            <w:r>
              <w:rPr>
                <w:rFonts w:hint="eastAsia" w:ascii="宋体" w:hAnsi="宋体" w:eastAsia="宋体" w:cs="宋体"/>
                <w:b w:val="0"/>
                <w:bCs w:val="0"/>
                <w:kern w:val="0"/>
                <w:sz w:val="24"/>
              </w:rPr>
              <w:t>（十一）</w:t>
            </w:r>
            <w:r>
              <w:rPr>
                <w:rFonts w:hint="eastAsia" w:ascii="宋体" w:hAnsi="宋体" w:eastAsia="宋体" w:cs="宋体"/>
                <w:bCs w:val="0"/>
                <w:kern w:val="0"/>
                <w:sz w:val="24"/>
              </w:rPr>
              <w:t>电子数据鉴定项目（5项）</w:t>
            </w:r>
          </w:p>
        </w:tc>
      </w:tr>
      <w:tr>
        <w:tblPrEx>
          <w:tblLayout w:type="fixed"/>
          <w:tblCellMar>
            <w:top w:w="0" w:type="dxa"/>
            <w:left w:w="108" w:type="dxa"/>
            <w:bottom w:w="0" w:type="dxa"/>
            <w:right w:w="108" w:type="dxa"/>
          </w:tblCellMar>
        </w:tblPrEx>
        <w:trPr>
          <w:trHeight w:val="168"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项  目</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单位</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kern w:val="0"/>
                <w:sz w:val="24"/>
              </w:rPr>
            </w:pPr>
            <w:r>
              <w:rPr>
                <w:rFonts w:hint="eastAsia" w:ascii="宋体" w:hAnsi="宋体" w:eastAsia="宋体" w:cs="宋体"/>
                <w:b/>
                <w:bCs/>
                <w:kern w:val="0"/>
                <w:sz w:val="24"/>
              </w:rPr>
              <w:t>收费</w:t>
            </w:r>
          </w:p>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标准（元）</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宋体"/>
                <w:kern w:val="0"/>
                <w:sz w:val="24"/>
              </w:rPr>
            </w:pPr>
            <w:r>
              <w:rPr>
                <w:rFonts w:hint="eastAsia" w:ascii="宋体" w:hAnsi="宋体" w:eastAsia="宋体" w:cs="宋体"/>
                <w:b/>
                <w:bCs/>
                <w:kern w:val="0"/>
                <w:sz w:val="24"/>
              </w:rPr>
              <w:t>释 义 及 备 注</w:t>
            </w:r>
          </w:p>
        </w:tc>
      </w:tr>
      <w:tr>
        <w:tblPrEx>
          <w:tblLayout w:type="fixed"/>
          <w:tblCellMar>
            <w:top w:w="0" w:type="dxa"/>
            <w:left w:w="108" w:type="dxa"/>
            <w:bottom w:w="0" w:type="dxa"/>
            <w:right w:w="108" w:type="dxa"/>
          </w:tblCellMar>
        </w:tblPrEx>
        <w:trPr>
          <w:trHeight w:val="168"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1</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电子数据搜索、提取</w:t>
            </w:r>
          </w:p>
        </w:tc>
        <w:tc>
          <w:tcPr>
            <w:tcW w:w="843"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1GB</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kern w:val="0"/>
                <w:sz w:val="24"/>
              </w:rPr>
            </w:pPr>
            <w:r>
              <w:rPr>
                <w:rFonts w:hint="eastAsia" w:ascii="宋体" w:hAnsi="宋体" w:eastAsia="宋体" w:cs="宋体"/>
                <w:kern w:val="0"/>
                <w:sz w:val="24"/>
              </w:rPr>
              <w:t>12</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400" w:lineRule="exact"/>
              <w:rPr>
                <w:rFonts w:hint="eastAsia" w:ascii="宋体" w:hAnsi="宋体" w:eastAsia="宋体" w:cs="宋体"/>
                <w:kern w:val="0"/>
                <w:sz w:val="24"/>
              </w:rPr>
            </w:pPr>
            <w:r>
              <w:rPr>
                <w:rFonts w:hint="eastAsia" w:ascii="宋体" w:hAnsi="宋体" w:eastAsia="宋体" w:cs="宋体"/>
                <w:kern w:val="0"/>
                <w:sz w:val="24"/>
              </w:rPr>
              <w:t>对存储介质中的电子数据进行搜索、提取。　</w:t>
            </w:r>
          </w:p>
        </w:tc>
      </w:tr>
      <w:tr>
        <w:tblPrEx>
          <w:tblLayout w:type="fixed"/>
          <w:tblCellMar>
            <w:top w:w="0" w:type="dxa"/>
            <w:left w:w="108" w:type="dxa"/>
            <w:bottom w:w="0" w:type="dxa"/>
            <w:right w:w="108" w:type="dxa"/>
          </w:tblCellMar>
        </w:tblPrEx>
        <w:trPr>
          <w:trHeight w:val="146"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2</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电子数据恢复</w:t>
            </w:r>
          </w:p>
        </w:tc>
        <w:tc>
          <w:tcPr>
            <w:tcW w:w="84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1GB</w:t>
            </w:r>
          </w:p>
        </w:tc>
        <w:tc>
          <w:tcPr>
            <w:tcW w:w="1036"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15</w:t>
            </w:r>
          </w:p>
        </w:tc>
        <w:tc>
          <w:tcPr>
            <w:tcW w:w="618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恢复被删除或无法直接读取的电子数据（不含数据库）。　</w:t>
            </w:r>
          </w:p>
        </w:tc>
      </w:tr>
      <w:tr>
        <w:tblPrEx>
          <w:tblLayout w:type="fixed"/>
          <w:tblCellMar>
            <w:top w:w="0" w:type="dxa"/>
            <w:left w:w="108" w:type="dxa"/>
            <w:bottom w:w="0" w:type="dxa"/>
            <w:right w:w="108" w:type="dxa"/>
          </w:tblCellMar>
        </w:tblPrEx>
        <w:trPr>
          <w:trHeight w:val="14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3</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手机机身数据获取</w:t>
            </w:r>
          </w:p>
        </w:tc>
        <w:tc>
          <w:tcPr>
            <w:tcW w:w="843"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个</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1000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提取手机机身存储的数据。</w:t>
            </w:r>
          </w:p>
        </w:tc>
      </w:tr>
      <w:tr>
        <w:tblPrEx>
          <w:tblLayout w:type="fixed"/>
          <w:tblCellMar>
            <w:top w:w="0" w:type="dxa"/>
            <w:left w:w="108" w:type="dxa"/>
            <w:bottom w:w="0" w:type="dxa"/>
            <w:right w:w="108" w:type="dxa"/>
          </w:tblCellMar>
        </w:tblPrEx>
        <w:trPr>
          <w:trHeight w:val="14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4</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密码破解</w:t>
            </w:r>
          </w:p>
        </w:tc>
        <w:tc>
          <w:tcPr>
            <w:tcW w:w="843"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个</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1500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破解电子密码，获取加密数据。</w:t>
            </w:r>
          </w:p>
        </w:tc>
      </w:tr>
      <w:tr>
        <w:tblPrEx>
          <w:tblLayout w:type="fixed"/>
          <w:tblCellMar>
            <w:top w:w="0" w:type="dxa"/>
            <w:left w:w="108" w:type="dxa"/>
            <w:bottom w:w="0" w:type="dxa"/>
            <w:right w:w="108" w:type="dxa"/>
          </w:tblCellMar>
        </w:tblPrEx>
        <w:trPr>
          <w:trHeight w:val="146" w:hRule="atLeast"/>
          <w:jc w:val="center"/>
        </w:trPr>
        <w:tc>
          <w:tcPr>
            <w:tcW w:w="515" w:type="dxa"/>
            <w:tcBorders>
              <w:top w:val="nil"/>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5</w:t>
            </w:r>
          </w:p>
        </w:tc>
        <w:tc>
          <w:tcPr>
            <w:tcW w:w="1290"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文件一致性鉴定</w:t>
            </w:r>
          </w:p>
        </w:tc>
        <w:tc>
          <w:tcPr>
            <w:tcW w:w="843"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对</w:t>
            </w:r>
          </w:p>
        </w:tc>
        <w:tc>
          <w:tcPr>
            <w:tcW w:w="1036"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宋体" w:hAnsi="宋体" w:eastAsia="宋体" w:cs="宋体"/>
                <w:kern w:val="0"/>
                <w:sz w:val="24"/>
              </w:rPr>
            </w:pPr>
            <w:r>
              <w:rPr>
                <w:rFonts w:hint="eastAsia" w:ascii="宋体" w:hAnsi="宋体" w:eastAsia="宋体" w:cs="宋体"/>
                <w:kern w:val="0"/>
                <w:sz w:val="24"/>
              </w:rPr>
              <w:t>800</w:t>
            </w:r>
          </w:p>
        </w:tc>
        <w:tc>
          <w:tcPr>
            <w:tcW w:w="6180" w:type="dxa"/>
            <w:gridSpan w:val="2"/>
            <w:tcBorders>
              <w:top w:val="nil"/>
              <w:left w:val="nil"/>
              <w:bottom w:val="single" w:color="auto" w:sz="4" w:space="0"/>
              <w:right w:val="single" w:color="auto" w:sz="4" w:space="0"/>
            </w:tcBorders>
            <w:vAlign w:val="center"/>
          </w:tcPr>
          <w:p>
            <w:pPr>
              <w:widowControl/>
              <w:adjustRightInd w:val="0"/>
              <w:snapToGrid w:val="0"/>
              <w:spacing w:line="400" w:lineRule="exact"/>
              <w:rPr>
                <w:rFonts w:ascii="宋体" w:hAnsi="宋体" w:eastAsia="宋体" w:cs="宋体"/>
                <w:kern w:val="0"/>
                <w:sz w:val="24"/>
              </w:rPr>
            </w:pPr>
            <w:r>
              <w:rPr>
                <w:rFonts w:hint="eastAsia" w:ascii="宋体" w:hAnsi="宋体" w:eastAsia="宋体" w:cs="宋体"/>
                <w:kern w:val="0"/>
                <w:sz w:val="24"/>
              </w:rPr>
              <w:t>检验、判断两个文件是否一致。</w:t>
            </w:r>
          </w:p>
        </w:tc>
      </w:tr>
    </w:tbl>
    <w:p>
      <w:pPr>
        <w:spacing w:line="360" w:lineRule="exact"/>
        <w:jc w:val="center"/>
        <w:textAlignment w:val="top"/>
        <w:rPr>
          <w:rFonts w:hint="eastAsia"/>
        </w:rPr>
      </w:pPr>
    </w:p>
    <w:p/>
    <w:p/>
    <w:p>
      <w:pPr>
        <w:spacing w:line="596" w:lineRule="exact"/>
        <w:textAlignment w:val="top"/>
        <w:rPr>
          <w:rFonts w:hint="eastAsia"/>
        </w:rPr>
      </w:pPr>
    </w:p>
    <w:p>
      <w:pPr>
        <w:spacing w:line="596" w:lineRule="exact"/>
        <w:textAlignment w:val="top"/>
        <w:rPr>
          <w:rFonts w:hint="eastAsia"/>
        </w:rPr>
      </w:pPr>
      <w:r>
        <w:rPr>
          <w:rFonts w:hint="eastAsia"/>
        </w:rPr>
        <mc:AlternateContent>
          <mc:Choice Requires="wps">
            <w:drawing>
              <wp:anchor distT="0" distB="0" distL="114300" distR="114300" simplePos="0" relativeHeight="251665408" behindDoc="0" locked="1" layoutInCell="1" hidden="1" allowOverlap="1">
                <wp:simplePos x="0" y="0"/>
                <wp:positionH relativeFrom="column">
                  <wp:posOffset>232410</wp:posOffset>
                </wp:positionH>
                <wp:positionV relativeFrom="page">
                  <wp:posOffset>9206230</wp:posOffset>
                </wp:positionV>
                <wp:extent cx="300037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p>
                        </w:txbxContent>
                      </wps:txbx>
                      <wps:bodyPr lIns="0" tIns="0" rIns="0" bIns="0" upright="1"/>
                    </wps:wsp>
                  </a:graphicData>
                </a:graphic>
              </wp:anchor>
            </w:drawing>
          </mc:Choice>
          <mc:Fallback>
            <w:pict>
              <v:shape id="_x0000_s1026" o:spid="_x0000_s1026" o:spt="202" type="#_x0000_t202" style="position:absolute;left:0pt;margin-left:18.3pt;margin-top:724.9pt;height:28.35pt;width:236.25pt;mso-position-vertical-relative:page;mso-wrap-distance-bottom:0pt;mso-wrap-distance-top:0pt;visibility:hidden;z-index:251665408;mso-width-relative:page;mso-height-relative:page;" filled="f" stroked="f" coordsize="21600,21600" o:gfxdata="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GSWeO1zR7tfP3e+/uz8PBEO9kVKVzRalhphaLLiNWJLHT2F8&#10;Fk8YLAKMGlw5kRrBPGq+PemsxkwEBmeMsdmHOSUCc7Nzxt7PC3zzVB0h5c8qOFKcjgLuscrLNzcp&#10;758en5RmPlwba+surSdDRz/Op/NacMoguPXYo3DYz1q8PK7GA7FVkFvkZb94lLd8laMDR2d1dO4j&#10;mHWPc1VVKiSupxI4fKWy/+f32vjpwy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VQmqPXAAAA&#10;DAEAAA8AAAAAAAAAAQAgAAAAIgAAAGRycy9kb3ducmV2LnhtbFBLAQIUABQAAAAIAIdO4kB0dySl&#10;rAEAADgDAAAOAAAAAAAAAAEAIAAAACYBAABkcnMvZTJvRG9jLnhtbFBLBQYAAAAABgAGAFkBAABE&#10;BQAAAAA=&#10;">
                <v:path/>
                <v:fill on="f" focussize="0,0"/>
                <v:stroke on="f"/>
                <v:imagedata o:title=""/>
                <o:lock v:ext="edit"/>
                <v:textbox inset="0mm,0mm,0mm,0mm">
                  <w:txbxContent>
                    <w:p>
                      <w:pPr>
                        <w:pStyle w:val="2"/>
                        <w:rPr>
                          <w:rFonts w:hint="eastAsia"/>
                          <w:sz w:val="28"/>
                          <w:szCs w:val="28"/>
                        </w:rPr>
                      </w:pPr>
                    </w:p>
                  </w:txbxContent>
                </v:textbox>
                <w10:wrap type="topAndBottom"/>
                <w10:anchorlock/>
              </v:shape>
            </w:pict>
          </mc:Fallback>
        </mc:AlternateContent>
      </w:r>
      <w:r>
        <w:rPr>
          <w:rFonts w:hint="eastAsia"/>
        </w:rPr>
        <mc:AlternateContent>
          <mc:Choice Requires="wps">
            <w:drawing>
              <wp:anchor distT="0" distB="0" distL="114300" distR="114300" simplePos="0" relativeHeight="251666432" behindDoc="0" locked="1" layoutInCell="1" hidden="1" allowOverlap="1">
                <wp:simplePos x="0" y="0"/>
                <wp:positionH relativeFrom="column">
                  <wp:posOffset>3269615</wp:posOffset>
                </wp:positionH>
                <wp:positionV relativeFrom="page">
                  <wp:posOffset>9206230</wp:posOffset>
                </wp:positionV>
                <wp:extent cx="233362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仿宋_GB2312"/>
                                <w:sz w:val="28"/>
                                <w:szCs w:val="28"/>
                              </w:rPr>
                            </w:pPr>
                            <w:r>
                              <w:rPr>
                                <w:rFonts w:hint="eastAsia" w:ascii="仿宋_GB2312"/>
                                <w:sz w:val="28"/>
                                <w:szCs w:val="28"/>
                              </w:rPr>
                              <w:fldChar w:fldCharType="begin"/>
                            </w:r>
                            <w:r>
                              <w:rPr>
                                <w:rFonts w:hint="eastAsia" w:ascii="仿宋_GB2312"/>
                                <w:sz w:val="28"/>
                                <w:szCs w:val="28"/>
                              </w:rPr>
                              <w:instrText xml:space="preserve"> MERGEFIELD 签发时间 </w:instrText>
                            </w:r>
                            <w:r>
                              <w:rPr>
                                <w:rFonts w:hint="eastAsia" w:ascii="仿宋_GB2312"/>
                                <w:sz w:val="28"/>
                                <w:szCs w:val="28"/>
                              </w:rPr>
                              <w:fldChar w:fldCharType="separate"/>
                            </w:r>
                            <w:r>
                              <w:rPr>
                                <w:rFonts w:hint="eastAsia" w:ascii="仿宋_GB2312"/>
                                <w:sz w:val="28"/>
                                <w:szCs w:val="28"/>
                              </w:rPr>
                              <w:t>2018年9月28日,2018年9月28日</w:t>
                            </w:r>
                            <w:r>
                              <w:rPr>
                                <w:rFonts w:hint="eastAsia" w:ascii="仿宋_GB2312"/>
                                <w:sz w:val="28"/>
                                <w:szCs w:val="28"/>
                              </w:rPr>
                              <w:fldChar w:fldCharType="end"/>
                            </w:r>
                            <w:r>
                              <w:rPr>
                                <w:rFonts w:hint="eastAsia" w:ascii="仿宋_GB2312"/>
                                <w:sz w:val="28"/>
                                <w:szCs w:val="28"/>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7.45pt;margin-top:724.9pt;height:28.35pt;width:183.75pt;mso-position-vertical-relative:page;mso-wrap-distance-bottom:0pt;mso-wrap-distance-top:0pt;visibility:hidden;z-index:251666432;mso-width-relative:page;mso-height-relative:page;" filled="f" stroked="f" coordsize="21600,21600" o:gfxdata="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bdG42QAA&#10;AA0BAAAPAAAAAAAAAAEAIAAAACIAAABkcnMvZG93bnJldi54bWxQSwECFAAUAAAACACHTuJAiJjW&#10;/6sBAAA4AwAADgAAAAAAAAABACAAAAAoAQAAZHJzL2Uyb0RvYy54bWxQSwUGAAAAAAYABgBZAQAA&#10;RQUAAAAA&#10;">
                <v:path/>
                <v:fill on="f" focussize="0,0"/>
                <v:stroke on="f"/>
                <v:imagedata o:title=""/>
                <o:lock v:ext="edit"/>
                <v:textbox inset="0mm,0mm,0mm,0mm">
                  <w:txbxContent>
                    <w:p>
                      <w:pPr>
                        <w:wordWrap w:val="0"/>
                        <w:jc w:val="right"/>
                        <w:rPr>
                          <w:rFonts w:hint="eastAsia" w:ascii="仿宋_GB2312"/>
                          <w:sz w:val="28"/>
                          <w:szCs w:val="28"/>
                        </w:rPr>
                      </w:pPr>
                      <w:r>
                        <w:rPr>
                          <w:rFonts w:hint="eastAsia" w:ascii="仿宋_GB2312"/>
                          <w:sz w:val="28"/>
                          <w:szCs w:val="28"/>
                        </w:rPr>
                        <w:fldChar w:fldCharType="begin"/>
                      </w:r>
                      <w:r>
                        <w:rPr>
                          <w:rFonts w:hint="eastAsia" w:ascii="仿宋_GB2312"/>
                          <w:sz w:val="28"/>
                          <w:szCs w:val="28"/>
                        </w:rPr>
                        <w:instrText xml:space="preserve"> MERGEFIELD 签发时间 </w:instrText>
                      </w:r>
                      <w:r>
                        <w:rPr>
                          <w:rFonts w:hint="eastAsia" w:ascii="仿宋_GB2312"/>
                          <w:sz w:val="28"/>
                          <w:szCs w:val="28"/>
                        </w:rPr>
                        <w:fldChar w:fldCharType="separate"/>
                      </w:r>
                      <w:r>
                        <w:rPr>
                          <w:rFonts w:hint="eastAsia" w:ascii="仿宋_GB2312"/>
                          <w:sz w:val="28"/>
                          <w:szCs w:val="28"/>
                        </w:rPr>
                        <w:t>2018年9月28日,2018年9月28日</w:t>
                      </w:r>
                      <w:r>
                        <w:rPr>
                          <w:rFonts w:hint="eastAsia" w:ascii="仿宋_GB2312"/>
                          <w:sz w:val="28"/>
                          <w:szCs w:val="28"/>
                        </w:rPr>
                        <w:fldChar w:fldCharType="end"/>
                      </w:r>
                      <w:r>
                        <w:rPr>
                          <w:rFonts w:hint="eastAsia" w:ascii="仿宋_GB2312"/>
                          <w:sz w:val="28"/>
                          <w:szCs w:val="28"/>
                        </w:rPr>
                        <w:t xml:space="preserve">翻印  </w:t>
                      </w:r>
                    </w:p>
                  </w:txbxContent>
                </v:textbox>
                <w10:wrap type="topAndBottom"/>
                <w10:anchorlock/>
              </v:shape>
            </w:pict>
          </mc:Fallback>
        </mc:AlternateContent>
      </w:r>
      <w:r>
        <w:rPr>
          <w:rFonts w:hint="eastAsia"/>
        </w:rPr>
        <mc:AlternateContent>
          <mc:Choice Requires="wps">
            <w:drawing>
              <wp:anchor distT="0" distB="0" distL="114300" distR="114300" simplePos="0" relativeHeight="251664384" behindDoc="0" locked="1" layoutInCell="1" hidden="1" allowOverlap="1">
                <wp:simplePos x="0" y="0"/>
                <wp:positionH relativeFrom="margin">
                  <wp:posOffset>-2540</wp:posOffset>
                </wp:positionH>
                <wp:positionV relativeFrom="page">
                  <wp:posOffset>9545320</wp:posOffset>
                </wp:positionV>
                <wp:extent cx="5615940" cy="0"/>
                <wp:effectExtent l="0" t="0" r="0" b="0"/>
                <wp:wrapTopAndBottom/>
                <wp:docPr id="5" name="直接连接符 5" hidden="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751.6pt;height:0pt;width:442.2pt;mso-position-horizontal-relative:margin;mso-position-vertical-relative:page;mso-wrap-distance-bottom:0pt;mso-wrap-distance-top:0pt;visibility:hidden;z-index:251664384;mso-width-relative:page;mso-height-relative:page;" filled="f" coordsize="21600,21600" o:gfxdata="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O6uTVAAAACwEAAA8AAAAA&#10;AAAAAQAgAAAAIgAAAGRycy9kb3ducmV2LnhtbFBLAQIUABQAAAAIAIdO4kCuoyb33gEAAKIDAAAO&#10;AAAAAAAAAAEAIAAAACQBAABkcnMvZTJvRG9jLnhtbFBLBQYAAAAABgAGAFkBAAB0BQAAAAA=&#10;">
                <v:path arrowok="t"/>
                <v:fill on="f" focussize="0,0"/>
                <v:stroke weight="1pt"/>
                <v:imagedata o:title=""/>
                <o:lock v:ext="edit"/>
                <w10:wrap type="topAndBottom"/>
                <w10:anchorlock/>
              </v:line>
            </w:pict>
          </mc:Fallback>
        </mc:AlternateContent>
      </w:r>
      <w:r>
        <w:rPr>
          <w:rFonts w:hint="eastAsia"/>
        </w:rPr>
        <mc:AlternateContent>
          <mc:Choice Requires="wps">
            <w:drawing>
              <wp:anchor distT="0" distB="0" distL="114300" distR="114300" simplePos="0" relativeHeight="251663360" behindDoc="0" locked="1" layoutInCell="1" allowOverlap="1">
                <wp:simplePos x="0" y="0"/>
                <wp:positionH relativeFrom="margin">
                  <wp:posOffset>-635</wp:posOffset>
                </wp:positionH>
                <wp:positionV relativeFrom="page">
                  <wp:posOffset>9001125</wp:posOffset>
                </wp:positionV>
                <wp:extent cx="5615940" cy="0"/>
                <wp:effectExtent l="0" t="0" r="0" b="0"/>
                <wp:wrapTopAndBottom/>
                <wp:docPr id="6" name="直接连接符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08.75pt;height:0pt;width:442.2pt;mso-position-horizontal-relative:margin;mso-position-vertical-relative:page;mso-wrap-distance-bottom:0pt;mso-wrap-distance-top:0pt;z-index:251663360;mso-width-relative:page;mso-height-relative:page;" filled="f" coordsize="21600,21600" o:gfxdata="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3WFTWAAAACwEAAA8AAAAAAAAA&#10;AQAgAAAAIgAAAGRycy9kb3ducmV2LnhtbFBLAQIUABQAAAAIAIdO4kCbtTT12gEAAJYDAAAOAAAA&#10;AAAAAAEAIAAAACUBAABkcnMvZTJvRG9jLnhtbFBLBQYAAAAABgAGAFkBAABxBQAAAAA=&#10;">
                <v:path arrowok="t"/>
                <v:fill on="f" focussize="0,0"/>
                <v:stroke/>
                <v:imagedata o:title=""/>
                <o:lock v:ext="edit"/>
                <w10:wrap type="topAndBottom"/>
                <w10:anchorlock/>
              </v:line>
            </w:pict>
          </mc:Fallback>
        </mc:AlternateContent>
      </w:r>
      <w:r>
        <w:rPr>
          <w:rFonts w:hint="eastAsia"/>
        </w:rPr>
        <mc:AlternateContent>
          <mc:Choice Requires="wps">
            <w:drawing>
              <wp:anchor distT="0" distB="0" distL="114300" distR="114300" simplePos="0" relativeHeight="251662336" behindDoc="0" locked="1" layoutInCell="1" allowOverlap="1">
                <wp:simplePos x="0" y="0"/>
                <wp:positionH relativeFrom="margin">
                  <wp:posOffset>-635</wp:posOffset>
                </wp:positionH>
                <wp:positionV relativeFrom="page">
                  <wp:posOffset>9374505</wp:posOffset>
                </wp:positionV>
                <wp:extent cx="5615940" cy="0"/>
                <wp:effectExtent l="0" t="0" r="0" b="0"/>
                <wp:wrapTopAndBottom/>
                <wp:docPr id="7" name="直接连接符 7"/>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38.15pt;height:0pt;width:442.2pt;mso-position-horizontal-relative:margin;mso-position-vertical-relative:page;mso-wrap-distance-bottom:0pt;mso-wrap-distance-top:0pt;z-index:251662336;mso-width-relative:page;mso-height-relative:page;" filled="f" coordsize="21600,21600" o:gfxdata="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J+2w2AAAAAsBAAAPAAAAAAAA&#10;AAEAIAAAACIAAABkcnMvZG93bnJldi54bWxQSwECFAAUAAAACACHTuJAsXDBDtkBAACXAwAADgAA&#10;AAAAAAABACAAAAAnAQAAZHJzL2Uyb0RvYy54bWxQSwUGAAAAAAYABgBZAQAAcgUAAAAA&#10;">
                <v:path arrowok="t"/>
                <v:fill on="f" focussize="0,0"/>
                <v:stroke weight="1pt"/>
                <v:imagedata o:title=""/>
                <o:lock v:ext="edit"/>
                <w10:wrap type="topAndBottom"/>
                <w10:anchorlock/>
              </v:line>
            </w:pict>
          </mc:Fallback>
        </mc:AlternateContent>
      </w:r>
      <w:r>
        <w:rPr>
          <w:rFonts w:hint="eastAsia"/>
        </w:rPr>
        <mc:AlternateContent>
          <mc:Choice Requires="wps">
            <w:drawing>
              <wp:anchor distT="0" distB="0" distL="114300" distR="114300" simplePos="0" relativeHeight="251661312" behindDoc="0" locked="1" layoutInCell="1" allowOverlap="1">
                <wp:simplePos x="0" y="0"/>
                <wp:positionH relativeFrom="column">
                  <wp:posOffset>3259455</wp:posOffset>
                </wp:positionH>
                <wp:positionV relativeFrom="page">
                  <wp:posOffset>9011920</wp:posOffset>
                </wp:positionV>
                <wp:extent cx="2333625" cy="360045"/>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仿宋_GB2312" w:hAnsi="宋体"/>
                                <w:sz w:val="28"/>
                                <w:szCs w:val="28"/>
                              </w:rPr>
                            </w:pPr>
                            <w:r>
                              <w:rPr>
                                <w:rFonts w:hint="eastAsia" w:ascii="仿宋_GB2312" w:hAnsi="宋体"/>
                                <w:sz w:val="28"/>
                                <w:szCs w:val="28"/>
                              </w:rPr>
                              <w:t>2018</w:t>
                            </w:r>
                            <w:r>
                              <w:rPr>
                                <w:rFonts w:ascii="仿宋_GB2312" w:hAnsi="宋体"/>
                                <w:sz w:val="28"/>
                                <w:szCs w:val="28"/>
                              </w:rPr>
                              <w:t>年</w:t>
                            </w:r>
                            <w:r>
                              <w:rPr>
                                <w:rFonts w:hint="eastAsia" w:ascii="仿宋_GB2312" w:hAnsi="宋体"/>
                                <w:sz w:val="28"/>
                                <w:szCs w:val="28"/>
                              </w:rPr>
                              <w:t>9</w:t>
                            </w:r>
                            <w:r>
                              <w:rPr>
                                <w:rFonts w:ascii="仿宋_GB2312" w:hAnsi="宋体"/>
                                <w:sz w:val="28"/>
                                <w:szCs w:val="28"/>
                              </w:rPr>
                              <w:t>月</w:t>
                            </w:r>
                            <w:r>
                              <w:rPr>
                                <w:rFonts w:hint="eastAsia" w:ascii="仿宋_GB2312" w:hAnsi="宋体"/>
                                <w:sz w:val="28"/>
                                <w:szCs w:val="28"/>
                              </w:rPr>
                              <w:t>28</w:t>
                            </w:r>
                            <w:r>
                              <w:rPr>
                                <w:rFonts w:ascii="仿宋_GB2312" w:hAnsi="宋体"/>
                                <w:sz w:val="28"/>
                                <w:szCs w:val="28"/>
                              </w:rPr>
                              <w:t>日</w:t>
                            </w:r>
                            <w:r>
                              <w:rPr>
                                <w:rFonts w:hint="eastAsia" w:ascii="仿宋_GB2312" w:hAnsi="宋体"/>
                                <w:sz w:val="28"/>
                                <w:szCs w:val="28"/>
                              </w:rPr>
                              <w:t xml:space="preserve">印发  </w:t>
                            </w:r>
                          </w:p>
                        </w:txbxContent>
                      </wps:txbx>
                      <wps:bodyPr lIns="0" tIns="0" rIns="0" bIns="0" upright="1"/>
                    </wps:wsp>
                  </a:graphicData>
                </a:graphic>
              </wp:anchor>
            </w:drawing>
          </mc:Choice>
          <mc:Fallback>
            <w:pict>
              <v:shape id="_x0000_s1026" o:spid="_x0000_s1026" o:spt="202" type="#_x0000_t202" style="position:absolute;left:0pt;margin-left:256.65pt;margin-top:709.6pt;height:28.35pt;width:183.75pt;mso-position-vertical-relative:page;mso-wrap-distance-bottom:0pt;mso-wrap-distance-top:0pt;z-index:251661312;mso-width-relative:page;mso-height-relative:page;" filled="f" stroked="f" coordsize="21600,21600" o:gfxdata="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BRoX2wAAAA0B&#10;AAAPAAAAAAAAAAEAIAAAACIAAABkcnMvZG93bnJldi54bWxQSwECFAAUAAAACACHTuJAkdv8C6YB&#10;AAAtAwAADgAAAAAAAAABACAAAAAqAQAAZHJzL2Uyb0RvYy54bWxQSwUGAAAAAAYABgBZAQAAQgUA&#10;AAAA&#10;">
                <v:path/>
                <v:fill on="f" focussize="0,0"/>
                <v:stroke on="f"/>
                <v:imagedata o:title=""/>
                <o:lock v:ext="edit"/>
                <v:textbox inset="0mm,0mm,0mm,0mm">
                  <w:txbxContent>
                    <w:p>
                      <w:pPr>
                        <w:wordWrap w:val="0"/>
                        <w:jc w:val="right"/>
                        <w:rPr>
                          <w:rFonts w:hint="eastAsia" w:ascii="仿宋_GB2312" w:hAnsi="宋体"/>
                          <w:sz w:val="28"/>
                          <w:szCs w:val="28"/>
                        </w:rPr>
                      </w:pPr>
                      <w:r>
                        <w:rPr>
                          <w:rFonts w:hint="eastAsia" w:ascii="仿宋_GB2312" w:hAnsi="宋体"/>
                          <w:sz w:val="28"/>
                          <w:szCs w:val="28"/>
                        </w:rPr>
                        <w:t>2018</w:t>
                      </w:r>
                      <w:r>
                        <w:rPr>
                          <w:rFonts w:ascii="仿宋_GB2312" w:hAnsi="宋体"/>
                          <w:sz w:val="28"/>
                          <w:szCs w:val="28"/>
                        </w:rPr>
                        <w:t>年</w:t>
                      </w:r>
                      <w:r>
                        <w:rPr>
                          <w:rFonts w:hint="eastAsia" w:ascii="仿宋_GB2312" w:hAnsi="宋体"/>
                          <w:sz w:val="28"/>
                          <w:szCs w:val="28"/>
                        </w:rPr>
                        <w:t>9</w:t>
                      </w:r>
                      <w:r>
                        <w:rPr>
                          <w:rFonts w:ascii="仿宋_GB2312" w:hAnsi="宋体"/>
                          <w:sz w:val="28"/>
                          <w:szCs w:val="28"/>
                        </w:rPr>
                        <w:t>月</w:t>
                      </w:r>
                      <w:r>
                        <w:rPr>
                          <w:rFonts w:hint="eastAsia" w:ascii="仿宋_GB2312" w:hAnsi="宋体"/>
                          <w:sz w:val="28"/>
                          <w:szCs w:val="28"/>
                        </w:rPr>
                        <w:t>28</w:t>
                      </w:r>
                      <w:r>
                        <w:rPr>
                          <w:rFonts w:ascii="仿宋_GB2312" w:hAnsi="宋体"/>
                          <w:sz w:val="28"/>
                          <w:szCs w:val="28"/>
                        </w:rPr>
                        <w:t>日</w:t>
                      </w:r>
                      <w:r>
                        <w:rPr>
                          <w:rFonts w:hint="eastAsia" w:ascii="仿宋_GB2312" w:hAnsi="宋体"/>
                          <w:sz w:val="28"/>
                          <w:szCs w:val="28"/>
                        </w:rPr>
                        <w:t xml:space="preserve">印发  </w:t>
                      </w:r>
                    </w:p>
                  </w:txbxContent>
                </v:textbox>
                <w10:wrap type="topAndBottom"/>
                <w10:anchorlock/>
              </v:shape>
            </w:pict>
          </mc:Fallback>
        </mc:AlternateContent>
      </w:r>
      <w:r>
        <w:rPr>
          <w:rFonts w:hint="eastAsia"/>
        </w:rPr>
        <mc:AlternateContent>
          <mc:Choice Requires="wps">
            <w:drawing>
              <wp:anchor distT="0" distB="0" distL="114300" distR="114300" simplePos="0" relativeHeight="251660288" behindDoc="0" locked="1" layoutInCell="1" allowOverlap="1">
                <wp:simplePos x="0" y="0"/>
                <wp:positionH relativeFrom="column">
                  <wp:posOffset>236220</wp:posOffset>
                </wp:positionH>
                <wp:positionV relativeFrom="page">
                  <wp:posOffset>8999220</wp:posOffset>
                </wp:positionV>
                <wp:extent cx="3000375" cy="360045"/>
                <wp:effectExtent l="0" t="0" r="0" b="0"/>
                <wp:wrapTopAndBottom/>
                <wp:docPr id="9" name="文本框 9"/>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r>
                              <w:rPr>
                                <w:rFonts w:hint="eastAsia"/>
                                <w:sz w:val="28"/>
                                <w:szCs w:val="28"/>
                              </w:rPr>
                              <w:t>福建省物价局办公室</w:t>
                            </w:r>
                          </w:p>
                        </w:txbxContent>
                      </wps:txbx>
                      <wps:bodyPr lIns="0" tIns="0" rIns="0" bIns="0" upright="1"/>
                    </wps:wsp>
                  </a:graphicData>
                </a:graphic>
              </wp:anchor>
            </w:drawing>
          </mc:Choice>
          <mc:Fallback>
            <w:pict>
              <v:shape id="_x0000_s1026" o:spid="_x0000_s1026" o:spt="202" type="#_x0000_t202" style="position:absolute;left:0pt;margin-left:18.6pt;margin-top:708.6pt;height:28.35pt;width:236.25pt;mso-position-vertical-relative:page;mso-wrap-distance-bottom:0pt;mso-wrap-distance-top:0pt;z-index:251660288;mso-width-relative:page;mso-height-relative:page;" filled="f" stroked="f" coordsize="21600,21600" o:gfxdata="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1KNo2gAAAAwB&#10;AAAPAAAAAAAAAAEAIAAAACIAAABkcnMvZG93bnJldi54bWxQSwECFAAUAAAACACHTuJAVMBFBKcB&#10;AAAtAwAADgAAAAAAAAABACAAAAApAQAAZHJzL2Uyb0RvYy54bWxQSwUGAAAAAAYABgBZAQAAQgUA&#10;AAAA&#10;">
                <v:path/>
                <v:fill on="f" focussize="0,0"/>
                <v:stroke on="f"/>
                <v:imagedata o:title=""/>
                <o:lock v:ext="edit"/>
                <v:textbox inset="0mm,0mm,0mm,0mm">
                  <w:txbxContent>
                    <w:p>
                      <w:pPr>
                        <w:pStyle w:val="2"/>
                        <w:rPr>
                          <w:rFonts w:hint="eastAsia"/>
                          <w:sz w:val="28"/>
                          <w:szCs w:val="28"/>
                        </w:rPr>
                      </w:pPr>
                      <w:r>
                        <w:rPr>
                          <w:rFonts w:hint="eastAsia"/>
                          <w:sz w:val="28"/>
                          <w:szCs w:val="28"/>
                        </w:rPr>
                        <w:t>福建省物价局办公室</w:t>
                      </w:r>
                    </w:p>
                  </w:txbxContent>
                </v:textbox>
                <w10:wrap type="topAndBottom"/>
                <w10:anchorlock/>
              </v:shape>
            </w:pict>
          </mc:Fallback>
        </mc:AlternateContent>
      </w:r>
    </w:p>
    <w:p>
      <w:pPr>
        <w:spacing w:line="560" w:lineRule="exact"/>
        <w:jc w:val="center"/>
        <w:rPr>
          <w:rFonts w:hint="eastAsia"/>
        </w:rPr>
      </w:pPr>
    </w:p>
    <w:p/>
    <w:sectPr>
      <w:footerReference r:id="rId6" w:type="first"/>
      <w:footerReference r:id="rId4" w:type="default"/>
      <w:headerReference r:id="rId3" w:type="even"/>
      <w:footerReference r:id="rId5" w:type="even"/>
      <w:pgSz w:w="11906" w:h="16838"/>
      <w:pgMar w:top="1701" w:right="1588" w:bottom="1588" w:left="1588" w:header="851" w:footer="1361" w:gutter="0"/>
      <w:cols w:space="720" w:num="1"/>
      <w:titlePg/>
      <w:docGrid w:type="linesAndChars" w:linePitch="641"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_4eff_5b8b_GB2312">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hint="eastAsia" w:ascii="宋体" w:hAnsi="宋体" w:eastAsia="宋体"/>
        <w:sz w:val="28"/>
        <w:szCs w:val="28"/>
      </w:rPr>
      <w:t xml:space="preserve">                                                 —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sz w:val="28"/>
        <w:szCs w:val="28"/>
      </w:rPr>
    </w:pPr>
    <w:r>
      <w:rPr>
        <w:rFonts w:hint="eastAsia" w:ascii="仿宋_GB2312"/>
        <w:sz w:val="28"/>
        <w:szCs w:val="28"/>
      </w:rPr>
      <w:t xml:space="preserve">                                            —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r>
      <w:rPr>
        <w:rFonts w:hint="eastAsia" w:ascii="仿宋_GB2312"/>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E7491"/>
    <w:rsid w:val="244E7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 Char Char3"/>
    <w:basedOn w:val="1"/>
    <w:uiPriority w:val="0"/>
    <w:pPr>
      <w:widowControl/>
      <w:spacing w:after="16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2019-11-18T07:22:00Z</dcterms:created>
  <dc:creator>NTKO</dc:creator>
  <cp:lastModifiedBy>NTKO</cp:lastModifiedBy>
  <dcterms:modified xsi:type="dcterms:W3CDTF">2019-11-18T07:22:41Z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