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626B7">
      <w:pPr>
        <w:pStyle w:val="2"/>
        <w:wordWrap/>
        <w:adjustRightInd w:val="0"/>
        <w:snapToGrid w:val="0"/>
        <w:spacing w:line="560" w:lineRule="exact"/>
        <w:ind w:left="0" w:leftChars="0" w:firstLine="0" w:firstLineChars="0"/>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附件1</w:t>
      </w:r>
    </w:p>
    <w:p w14:paraId="41C7BDF6">
      <w:pPr>
        <w:pStyle w:val="2"/>
        <w:spacing w:line="560" w:lineRule="exact"/>
        <w:ind w:left="0" w:leftChars="0" w:firstLine="0" w:firstLineChars="0"/>
        <w:jc w:val="center"/>
        <w:rPr>
          <w:rFonts w:hint="eastAsia" w:ascii="方正小标宋简体" w:hAnsi="方正小标宋简体" w:eastAsia="方正小标宋简体" w:cs="方正小标宋简体"/>
          <w:b w:val="0"/>
          <w:bCs w:val="0"/>
          <w:color w:val="auto"/>
          <w:sz w:val="44"/>
          <w:szCs w:val="44"/>
          <w:lang w:val="en-US" w:eastAsia="zh-CN"/>
        </w:rPr>
      </w:pPr>
      <w:bookmarkStart w:id="0" w:name="_GoBack"/>
      <w:r>
        <w:rPr>
          <w:rFonts w:hint="eastAsia" w:ascii="方正小标宋简体" w:hAnsi="方正小标宋简体" w:eastAsia="方正小标宋简体" w:cs="方正小标宋简体"/>
          <w:b w:val="0"/>
          <w:bCs w:val="0"/>
          <w:color w:val="auto"/>
          <w:sz w:val="44"/>
          <w:szCs w:val="44"/>
          <w:highlight w:val="none"/>
          <w:lang w:val="en-US" w:eastAsia="zh-CN"/>
        </w:rPr>
        <w:t>需求响应竞价流程</w:t>
      </w:r>
    </w:p>
    <w:bookmarkEnd w:id="0"/>
    <w:p w14:paraId="4813CEBA">
      <w:pPr>
        <w:pStyle w:val="2"/>
        <w:widowControl w:val="0"/>
        <w:wordWrap/>
        <w:adjustRightInd/>
        <w:snapToGrid/>
        <w:spacing w:line="560" w:lineRule="exact"/>
        <w:textAlignment w:val="auto"/>
        <w:rPr>
          <w:rFonts w:hint="eastAsia" w:ascii="黑体" w:hAnsi="黑体" w:eastAsia="黑体" w:cs="黑体"/>
          <w:color w:val="auto"/>
          <w:szCs w:val="32"/>
          <w:highlight w:val="none"/>
          <w:lang w:val="en-US" w:eastAsia="zh-CN"/>
        </w:rPr>
      </w:pPr>
    </w:p>
    <w:p w14:paraId="66A46BCC">
      <w:pPr>
        <w:pStyle w:val="2"/>
        <w:widowControl w:val="0"/>
        <w:wordWrap/>
        <w:adjustRightInd/>
        <w:snapToGrid/>
        <w:spacing w:line="560" w:lineRule="exact"/>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一、申报组织</w:t>
      </w:r>
    </w:p>
    <w:p w14:paraId="2C331599">
      <w:pPr>
        <w:pStyle w:val="2"/>
        <w:widowControl w:val="0"/>
        <w:wordWrap/>
        <w:adjustRightInd/>
        <w:snapToGrid/>
        <w:spacing w:line="560" w:lineRule="exact"/>
        <w:textAlignment w:val="auto"/>
        <w:rPr>
          <w:rFonts w:hint="eastAsia" w:ascii="仿宋_GB2312" w:hAnsi="仿宋_GB2312" w:eastAsia="仿宋_GB2312" w:cs="仿宋_GB2312"/>
          <w:color w:val="auto"/>
          <w:szCs w:val="32"/>
          <w:highlight w:val="none"/>
          <w:lang w:val="en-US" w:eastAsia="zh-CN"/>
        </w:rPr>
      </w:pPr>
      <w:r>
        <w:rPr>
          <w:rFonts w:hint="eastAsia" w:ascii="CESI楷体-GB13000" w:hAnsi="CESI楷体-GB13000" w:eastAsia="CESI楷体-GB13000" w:cs="CESI楷体-GB13000"/>
          <w:b/>
          <w:bCs/>
          <w:color w:val="auto"/>
          <w:szCs w:val="32"/>
          <w:highlight w:val="none"/>
          <w:lang w:val="en-US" w:eastAsia="zh-CN"/>
        </w:rPr>
        <w:t>（一）</w:t>
      </w:r>
      <w:r>
        <w:rPr>
          <w:rFonts w:hint="eastAsia" w:ascii="仿宋_GB2312" w:hAnsi="仿宋_GB2312" w:eastAsia="仿宋_GB2312" w:cs="仿宋_GB2312"/>
          <w:color w:val="auto"/>
          <w:szCs w:val="32"/>
          <w:highlight w:val="none"/>
          <w:lang w:val="en-US" w:eastAsia="zh-CN"/>
        </w:rPr>
        <w:t>每年6月10日前，</w:t>
      </w:r>
      <w:r>
        <w:rPr>
          <w:rFonts w:hint="eastAsia" w:ascii="仿宋_GB2312" w:hAnsi="仿宋_GB2312" w:cs="仿宋_GB2312"/>
          <w:color w:val="auto"/>
          <w:szCs w:val="32"/>
          <w:highlight w:val="none"/>
          <w:lang w:val="en-US" w:eastAsia="zh-CN"/>
        </w:rPr>
        <w:t>国网</w:t>
      </w:r>
      <w:r>
        <w:rPr>
          <w:rFonts w:hint="eastAsia" w:ascii="仿宋_GB2312" w:hAnsi="仿宋_GB2312" w:eastAsia="仿宋_GB2312" w:cs="仿宋_GB2312"/>
          <w:color w:val="auto"/>
          <w:szCs w:val="32"/>
          <w:highlight w:val="none"/>
          <w:lang w:val="en-US" w:eastAsia="zh-CN"/>
        </w:rPr>
        <w:t>福建省电力有限公司</w:t>
      </w:r>
      <w:r>
        <w:rPr>
          <w:rFonts w:hint="eastAsia" w:ascii="仿宋_GB2312" w:hAnsi="仿宋_GB2312" w:cs="仿宋_GB2312"/>
          <w:color w:val="auto"/>
          <w:szCs w:val="32"/>
          <w:highlight w:val="none"/>
          <w:lang w:val="en-US" w:eastAsia="zh-CN"/>
        </w:rPr>
        <w:t>提出</w:t>
      </w:r>
      <w:r>
        <w:rPr>
          <w:rFonts w:hint="eastAsia" w:ascii="仿宋_GB2312" w:hAnsi="仿宋_GB2312" w:eastAsia="仿宋_GB2312" w:cs="仿宋_GB2312"/>
          <w:color w:val="auto"/>
          <w:szCs w:val="32"/>
          <w:highlight w:val="none"/>
          <w:lang w:val="en-US" w:eastAsia="zh-CN"/>
        </w:rPr>
        <w:t>竞价价格上限</w:t>
      </w:r>
      <w:r>
        <w:rPr>
          <w:rFonts w:hint="eastAsia" w:ascii="仿宋_GB2312" w:hAnsi="仿宋_GB2312" w:cs="仿宋_GB2312"/>
          <w:color w:val="auto"/>
          <w:szCs w:val="32"/>
          <w:highlight w:val="none"/>
          <w:lang w:val="en-US" w:eastAsia="zh-CN"/>
        </w:rPr>
        <w:t>建议</w:t>
      </w:r>
      <w:r>
        <w:rPr>
          <w:rFonts w:hint="eastAsia" w:ascii="仿宋_GB2312" w:hAnsi="仿宋_GB2312" w:eastAsia="仿宋_GB2312" w:cs="仿宋_GB2312"/>
          <w:color w:val="auto"/>
          <w:szCs w:val="32"/>
          <w:highlight w:val="none"/>
          <w:lang w:val="en-US" w:eastAsia="zh-CN"/>
        </w:rPr>
        <w:t>，</w:t>
      </w:r>
      <w:r>
        <w:rPr>
          <w:rFonts w:hint="eastAsia" w:ascii="仿宋_GB2312" w:hAnsi="仿宋_GB2312" w:cs="仿宋_GB2312"/>
          <w:color w:val="auto"/>
          <w:szCs w:val="32"/>
          <w:highlight w:val="none"/>
          <w:lang w:val="en-US" w:eastAsia="zh-CN"/>
        </w:rPr>
        <w:t>经</w:t>
      </w:r>
      <w:r>
        <w:rPr>
          <w:rFonts w:hint="eastAsia" w:ascii="仿宋_GB2312" w:hAnsi="仿宋_GB2312" w:eastAsia="仿宋_GB2312" w:cs="仿宋_GB2312"/>
          <w:color w:val="auto"/>
          <w:szCs w:val="32"/>
          <w:highlight w:val="none"/>
          <w:lang w:val="en-US" w:eastAsia="zh-CN"/>
        </w:rPr>
        <w:t>省发改委确认</w:t>
      </w:r>
      <w:r>
        <w:rPr>
          <w:rFonts w:hint="eastAsia" w:ascii="仿宋_GB2312" w:hAnsi="仿宋_GB2312" w:cs="仿宋_GB2312"/>
          <w:color w:val="auto"/>
          <w:szCs w:val="32"/>
          <w:highlight w:val="none"/>
          <w:lang w:val="en-US" w:eastAsia="zh-CN"/>
        </w:rPr>
        <w:t>同意</w:t>
      </w:r>
      <w:r>
        <w:rPr>
          <w:rFonts w:hint="eastAsia" w:ascii="仿宋_GB2312" w:hAnsi="仿宋_GB2312" w:eastAsia="仿宋_GB2312" w:cs="仿宋_GB2312"/>
          <w:color w:val="auto"/>
          <w:szCs w:val="32"/>
          <w:highlight w:val="none"/>
          <w:lang w:val="en-US" w:eastAsia="zh-CN"/>
        </w:rPr>
        <w:t>后，连同电力缺口</w:t>
      </w:r>
      <w:r>
        <w:rPr>
          <w:rFonts w:hint="eastAsia" w:ascii="仿宋_GB2312" w:hAnsi="仿宋_GB2312" w:cs="仿宋_GB2312"/>
          <w:color w:val="auto"/>
          <w:szCs w:val="32"/>
          <w:highlight w:val="none"/>
          <w:lang w:val="en-US" w:eastAsia="zh-CN"/>
        </w:rPr>
        <w:t>告知</w:t>
      </w:r>
      <w:r>
        <w:rPr>
          <w:rFonts w:hint="eastAsia" w:ascii="仿宋_GB2312" w:hAnsi="仿宋_GB2312" w:eastAsia="仿宋_GB2312" w:cs="仿宋_GB2312"/>
          <w:color w:val="auto"/>
          <w:szCs w:val="32"/>
          <w:highlight w:val="none"/>
          <w:lang w:val="en-US" w:eastAsia="zh-CN"/>
        </w:rPr>
        <w:t>福建电力交易中心。省电力负荷管理中心将已审核确认的响应主体相关信息共享至福建电力交易中心。</w:t>
      </w:r>
    </w:p>
    <w:p w14:paraId="058D43CA">
      <w:pPr>
        <w:pStyle w:val="2"/>
        <w:widowControl w:val="0"/>
        <w:wordWrap/>
        <w:adjustRightInd/>
        <w:snapToGrid/>
        <w:spacing w:line="560" w:lineRule="exact"/>
        <w:textAlignment w:val="auto"/>
        <w:rPr>
          <w:rFonts w:hint="eastAsia" w:ascii="仿宋_GB2312" w:hAnsi="仿宋_GB2312" w:cs="仿宋_GB2312"/>
          <w:color w:val="auto"/>
          <w:szCs w:val="32"/>
          <w:highlight w:val="none"/>
          <w:lang w:val="en-US" w:eastAsia="zh-CN"/>
        </w:rPr>
      </w:pPr>
      <w:r>
        <w:rPr>
          <w:rFonts w:hint="eastAsia" w:ascii="CESI楷体-GB13000" w:hAnsi="CESI楷体-GB13000" w:eastAsia="CESI楷体-GB13000" w:cs="CESI楷体-GB13000"/>
          <w:b/>
          <w:bCs/>
          <w:color w:val="auto"/>
          <w:szCs w:val="32"/>
          <w:highlight w:val="none"/>
          <w:lang w:val="en-US" w:eastAsia="zh-CN"/>
        </w:rPr>
        <w:t>（二）</w:t>
      </w:r>
      <w:r>
        <w:rPr>
          <w:rFonts w:hint="eastAsia" w:ascii="仿宋_GB2312" w:hAnsi="仿宋_GB2312" w:eastAsia="仿宋_GB2312" w:cs="仿宋_GB2312"/>
          <w:color w:val="auto"/>
          <w:szCs w:val="32"/>
          <w:highlight w:val="none"/>
          <w:lang w:eastAsia="zh-CN"/>
        </w:rPr>
        <w:t>每年</w:t>
      </w:r>
      <w:r>
        <w:rPr>
          <w:rFonts w:hint="eastAsia" w:ascii="仿宋_GB2312" w:hAnsi="仿宋_GB2312" w:eastAsia="仿宋_GB2312" w:cs="仿宋_GB2312"/>
          <w:color w:val="auto"/>
          <w:szCs w:val="32"/>
          <w:highlight w:val="none"/>
        </w:rPr>
        <w:t>6月</w:t>
      </w:r>
      <w:r>
        <w:rPr>
          <w:rFonts w:hint="eastAsia" w:ascii="仿宋_GB2312" w:hAnsi="仿宋_GB2312" w:eastAsia="仿宋_GB2312" w:cs="仿宋_GB2312"/>
          <w:color w:val="auto"/>
          <w:szCs w:val="32"/>
          <w:highlight w:val="none"/>
          <w:lang w:val="en-US" w:eastAsia="zh-CN"/>
        </w:rPr>
        <w:t>15日</w:t>
      </w:r>
      <w:r>
        <w:rPr>
          <w:rFonts w:hint="eastAsia" w:ascii="仿宋_GB2312" w:hAnsi="仿宋_GB2312" w:eastAsia="仿宋_GB2312" w:cs="仿宋_GB2312"/>
          <w:color w:val="auto"/>
          <w:szCs w:val="32"/>
          <w:highlight w:val="none"/>
        </w:rPr>
        <w:t>前，福建电力</w:t>
      </w:r>
      <w:r>
        <w:rPr>
          <w:rFonts w:hint="eastAsia" w:ascii="仿宋_GB2312" w:hAnsi="仿宋_GB2312" w:eastAsia="仿宋_GB2312" w:cs="仿宋_GB2312"/>
          <w:color w:val="auto"/>
          <w:szCs w:val="32"/>
          <w:highlight w:val="none"/>
          <w:lang w:val="en-US" w:eastAsia="zh-CN"/>
        </w:rPr>
        <w:t>交易中心发布福建省年度电力需求响应竞价通知</w:t>
      </w:r>
      <w:r>
        <w:rPr>
          <w:rFonts w:hint="eastAsia" w:ascii="仿宋_GB2312" w:hAnsi="仿宋_GB2312" w:cs="仿宋_GB2312"/>
          <w:color w:val="auto"/>
          <w:szCs w:val="32"/>
          <w:highlight w:val="none"/>
          <w:lang w:val="en-US" w:eastAsia="zh-CN"/>
        </w:rPr>
        <w:t>，在申报公告中明确竞价价格上限和电力缺口。</w:t>
      </w:r>
    </w:p>
    <w:p w14:paraId="3D099519">
      <w:pPr>
        <w:pStyle w:val="2"/>
        <w:widowControl w:val="0"/>
        <w:wordWrap/>
        <w:adjustRightInd/>
        <w:snapToGrid/>
        <w:spacing w:line="560" w:lineRule="exact"/>
        <w:ind w:firstLine="640"/>
        <w:textAlignment w:val="auto"/>
        <w:rPr>
          <w:rFonts w:hint="eastAsia" w:ascii="仿宋_GB2312" w:hAnsi="仿宋_GB2312" w:eastAsia="仿宋_GB2312" w:cs="仿宋_GB2312"/>
          <w:color w:val="auto"/>
          <w:szCs w:val="32"/>
          <w:highlight w:val="none"/>
          <w:lang w:eastAsia="zh-CN"/>
        </w:rPr>
      </w:pPr>
      <w:r>
        <w:rPr>
          <w:rFonts w:hint="eastAsia" w:ascii="CESI楷体-GB13000" w:hAnsi="CESI楷体-GB13000" w:eastAsia="CESI楷体-GB13000" w:cs="CESI楷体-GB13000"/>
          <w:b/>
          <w:bCs/>
          <w:color w:val="auto"/>
          <w:szCs w:val="32"/>
          <w:highlight w:val="none"/>
          <w:lang w:val="en-US" w:eastAsia="zh-CN"/>
        </w:rPr>
        <w:t>（三）</w:t>
      </w:r>
      <w:r>
        <w:rPr>
          <w:rFonts w:hint="eastAsia" w:ascii="仿宋_GB2312" w:hAnsi="仿宋_GB2312" w:eastAsia="仿宋_GB2312" w:cs="仿宋_GB2312"/>
          <w:color w:val="auto"/>
          <w:szCs w:val="32"/>
          <w:highlight w:val="none"/>
          <w:lang w:val="en-US" w:eastAsia="zh-CN"/>
        </w:rPr>
        <w:t>福建电力</w:t>
      </w:r>
      <w:r>
        <w:rPr>
          <w:rFonts w:hint="eastAsia" w:ascii="仿宋_GB2312" w:hAnsi="仿宋_GB2312" w:eastAsia="仿宋_GB2312" w:cs="仿宋_GB2312"/>
          <w:color w:val="auto"/>
          <w:szCs w:val="32"/>
          <w:highlight w:val="none"/>
        </w:rPr>
        <w:t>交易中心</w:t>
      </w:r>
      <w:r>
        <w:rPr>
          <w:rFonts w:hint="eastAsia" w:ascii="仿宋_GB2312" w:hAnsi="仿宋_GB2312" w:eastAsia="仿宋_GB2312" w:cs="仿宋_GB2312"/>
          <w:color w:val="auto"/>
          <w:szCs w:val="32"/>
          <w:highlight w:val="none"/>
          <w:lang w:val="en-US" w:eastAsia="zh-CN"/>
        </w:rPr>
        <w:t>会同</w:t>
      </w:r>
      <w:r>
        <w:rPr>
          <w:rFonts w:hint="eastAsia" w:ascii="仿宋_GB2312" w:hAnsi="仿宋_GB2312" w:eastAsia="仿宋_GB2312" w:cs="仿宋_GB2312"/>
          <w:color w:val="auto"/>
          <w:szCs w:val="32"/>
          <w:highlight w:val="none"/>
        </w:rPr>
        <w:t>省电力</w:t>
      </w:r>
      <w:r>
        <w:rPr>
          <w:rFonts w:hint="eastAsia" w:ascii="仿宋_GB2312" w:hAnsi="仿宋_GB2312" w:eastAsia="仿宋_GB2312" w:cs="仿宋_GB2312"/>
          <w:color w:val="auto"/>
          <w:szCs w:val="32"/>
          <w:highlight w:val="none"/>
          <w:lang w:eastAsia="zh-CN"/>
        </w:rPr>
        <w:t>负荷管理中心</w:t>
      </w:r>
      <w:r>
        <w:rPr>
          <w:rFonts w:hint="eastAsia" w:ascii="仿宋_GB2312" w:hAnsi="仿宋_GB2312" w:eastAsia="仿宋_GB2312" w:cs="仿宋_GB2312"/>
          <w:color w:val="auto"/>
          <w:szCs w:val="32"/>
          <w:highlight w:val="none"/>
        </w:rPr>
        <w:t>组织已签约响应主体开展竞价，响应主体</w:t>
      </w:r>
      <w:r>
        <w:rPr>
          <w:rFonts w:hint="eastAsia" w:ascii="仿宋_GB2312" w:hAnsi="仿宋_GB2312" w:eastAsia="仿宋_GB2312" w:cs="仿宋_GB2312"/>
          <w:color w:val="auto"/>
          <w:szCs w:val="32"/>
          <w:highlight w:val="none"/>
          <w:lang w:val="en-US" w:eastAsia="zh-CN"/>
        </w:rPr>
        <w:t>可登录</w:t>
      </w:r>
      <w:r>
        <w:rPr>
          <w:rFonts w:hint="eastAsia" w:ascii="仿宋_GB2312" w:hAnsi="仿宋_GB2312" w:eastAsia="仿宋_GB2312" w:cs="仿宋_GB2312"/>
          <w:color w:val="auto"/>
          <w:szCs w:val="32"/>
          <w:highlight w:val="none"/>
        </w:rPr>
        <w:t>电力交易平台</w:t>
      </w:r>
      <w:r>
        <w:rPr>
          <w:rFonts w:hint="eastAsia" w:ascii="仿宋_GB2312" w:hAnsi="仿宋_GB2312" w:eastAsia="仿宋_GB2312" w:cs="仿宋_GB2312"/>
          <w:color w:val="auto"/>
          <w:szCs w:val="32"/>
          <w:highlight w:val="none"/>
          <w:lang w:val="en-US" w:eastAsia="zh-CN"/>
        </w:rPr>
        <w:t>填写</w:t>
      </w:r>
      <w:r>
        <w:rPr>
          <w:rFonts w:hint="eastAsia" w:ascii="仿宋_GB2312" w:hAnsi="仿宋_GB2312" w:eastAsia="仿宋_GB2312" w:cs="仿宋_GB2312"/>
          <w:color w:val="auto"/>
          <w:szCs w:val="32"/>
          <w:highlight w:val="none"/>
        </w:rPr>
        <w:t>申报价格</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申报响应负荷</w:t>
      </w:r>
      <w:r>
        <w:rPr>
          <w:rFonts w:hint="eastAsia" w:ascii="仿宋_GB2312" w:hAnsi="仿宋_GB2312" w:eastAsia="仿宋_GB2312" w:cs="仿宋_GB2312"/>
          <w:color w:val="auto"/>
          <w:szCs w:val="32"/>
          <w:highlight w:val="none"/>
          <w:lang w:eastAsia="zh-CN"/>
        </w:rPr>
        <w:t>。</w:t>
      </w:r>
    </w:p>
    <w:p w14:paraId="64AD49E7">
      <w:pPr>
        <w:pStyle w:val="2"/>
        <w:widowControl w:val="0"/>
        <w:wordWrap/>
        <w:adjustRightInd/>
        <w:snapToGrid/>
        <w:spacing w:line="560" w:lineRule="exact"/>
        <w:ind w:firstLine="640"/>
        <w:textAlignment w:val="auto"/>
        <w:rPr>
          <w:rFonts w:hint="eastAsia" w:ascii="仿宋_GB2312" w:hAnsi="仿宋_GB2312" w:eastAsia="仿宋_GB2312" w:cs="仿宋_GB2312"/>
          <w:color w:val="auto"/>
          <w:szCs w:val="32"/>
          <w:highlight w:val="none"/>
        </w:rPr>
      </w:pPr>
      <w:r>
        <w:rPr>
          <w:rFonts w:hint="eastAsia" w:ascii="CESI楷体-GB13000" w:hAnsi="CESI楷体-GB13000" w:eastAsia="CESI楷体-GB13000" w:cs="CESI楷体-GB13000"/>
          <w:b/>
          <w:bCs/>
          <w:color w:val="auto"/>
          <w:szCs w:val="32"/>
          <w:highlight w:val="none"/>
          <w:lang w:val="en-US" w:eastAsia="zh-CN"/>
        </w:rPr>
        <w:t>（四）</w:t>
      </w:r>
      <w:r>
        <w:rPr>
          <w:rFonts w:hint="eastAsia" w:ascii="仿宋_GB2312" w:hAnsi="仿宋_GB2312" w:cs="仿宋_GB2312"/>
          <w:color w:val="auto"/>
          <w:szCs w:val="32"/>
          <w:highlight w:val="none"/>
          <w:lang w:val="en-US" w:eastAsia="zh-CN"/>
        </w:rPr>
        <w:t>省电力负荷管理中心</w:t>
      </w:r>
      <w:r>
        <w:rPr>
          <w:rFonts w:hint="eastAsia" w:ascii="仿宋_GB2312" w:hAnsi="仿宋_GB2312" w:eastAsia="仿宋_GB2312" w:cs="仿宋_GB2312"/>
          <w:color w:val="auto"/>
          <w:szCs w:val="32"/>
          <w:highlight w:val="none"/>
          <w:lang w:val="en-US" w:eastAsia="zh-CN"/>
        </w:rPr>
        <w:t>将</w:t>
      </w:r>
      <w:r>
        <w:rPr>
          <w:rFonts w:hint="eastAsia" w:ascii="仿宋_GB2312" w:hAnsi="仿宋_GB2312" w:eastAsia="仿宋_GB2312" w:cs="仿宋_GB2312"/>
          <w:color w:val="auto"/>
          <w:szCs w:val="32"/>
          <w:highlight w:val="none"/>
        </w:rPr>
        <w:t>用户上年迎峰度夏（6</w:t>
      </w:r>
      <w:r>
        <w:rPr>
          <w:rFonts w:hint="eastAsia" w:ascii="仿宋_GB2312" w:hAnsi="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rPr>
        <w:t>9月）及迎峰度冬（11</w:t>
      </w:r>
      <w:r>
        <w:rPr>
          <w:rFonts w:hint="eastAsia" w:ascii="仿宋_GB2312" w:hAnsi="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rPr>
        <w:t>12月）平均日负荷曲线</w:t>
      </w:r>
      <w:r>
        <w:rPr>
          <w:rFonts w:hint="eastAsia" w:ascii="仿宋_GB2312" w:hAnsi="仿宋_GB2312" w:eastAsia="仿宋_GB2312" w:cs="仿宋_GB2312"/>
          <w:color w:val="auto"/>
          <w:szCs w:val="32"/>
          <w:highlight w:val="none"/>
          <w:lang w:val="en-US" w:eastAsia="zh-CN"/>
        </w:rPr>
        <w:t>通过</w:t>
      </w:r>
      <w:r>
        <w:rPr>
          <w:rFonts w:hint="eastAsia" w:ascii="仿宋_GB2312" w:hAnsi="仿宋_GB2312" w:eastAsia="仿宋_GB2312" w:cs="仿宋_GB2312"/>
          <w:strike w:val="0"/>
          <w:dstrike w:val="0"/>
          <w:color w:val="auto"/>
          <w:szCs w:val="32"/>
          <w:highlight w:val="none"/>
        </w:rPr>
        <w:t>“网上国网”APP、电力交易平台等</w:t>
      </w:r>
      <w:r>
        <w:rPr>
          <w:rFonts w:hint="eastAsia" w:ascii="仿宋_GB2312" w:hAnsi="仿宋_GB2312" w:eastAsia="仿宋_GB2312" w:cs="仿宋_GB2312"/>
          <w:color w:val="auto"/>
          <w:szCs w:val="32"/>
          <w:highlight w:val="none"/>
          <w:lang w:val="en-US" w:eastAsia="zh-CN"/>
        </w:rPr>
        <w:t>推送响应主体</w:t>
      </w:r>
      <w:r>
        <w:rPr>
          <w:rFonts w:hint="eastAsia" w:ascii="仿宋_GB2312" w:hAnsi="仿宋_GB2312" w:eastAsia="仿宋_GB2312" w:cs="仿宋_GB2312"/>
          <w:color w:val="auto"/>
          <w:szCs w:val="32"/>
          <w:highlight w:val="none"/>
        </w:rPr>
        <w:t>作为</w:t>
      </w:r>
      <w:r>
        <w:rPr>
          <w:rFonts w:hint="eastAsia" w:ascii="仿宋_GB2312" w:hAnsi="仿宋_GB2312" w:cs="仿宋_GB2312"/>
          <w:color w:val="auto"/>
          <w:szCs w:val="32"/>
          <w:highlight w:val="none"/>
          <w:lang w:eastAsia="zh-CN"/>
        </w:rPr>
        <w:t>竞价申报</w:t>
      </w:r>
      <w:r>
        <w:rPr>
          <w:rFonts w:hint="eastAsia" w:ascii="仿宋_GB2312" w:hAnsi="仿宋_GB2312" w:eastAsia="仿宋_GB2312" w:cs="仿宋_GB2312"/>
          <w:color w:val="auto"/>
          <w:szCs w:val="32"/>
          <w:highlight w:val="none"/>
        </w:rPr>
        <w:t>参考。</w:t>
      </w:r>
    </w:p>
    <w:p w14:paraId="22DDC4D7">
      <w:pPr>
        <w:pStyle w:val="2"/>
        <w:widowControl w:val="0"/>
        <w:wordWrap/>
        <w:adjustRightInd/>
        <w:snapToGrid/>
        <w:spacing w:line="560" w:lineRule="exact"/>
        <w:ind w:firstLine="640"/>
        <w:textAlignment w:val="auto"/>
        <w:rPr>
          <w:rFonts w:hint="eastAsia" w:ascii="仿宋_GB2312" w:hAnsi="仿宋_GB2312" w:eastAsia="仿宋_GB2312" w:cs="仿宋_GB2312"/>
          <w:color w:val="auto"/>
          <w:szCs w:val="32"/>
          <w:highlight w:val="none"/>
        </w:rPr>
      </w:pPr>
      <w:r>
        <w:rPr>
          <w:rFonts w:hint="eastAsia" w:ascii="CESI楷体-GB13000" w:hAnsi="CESI楷体-GB13000" w:eastAsia="CESI楷体-GB13000" w:cs="CESI楷体-GB13000"/>
          <w:b/>
          <w:bCs/>
          <w:color w:val="auto"/>
          <w:szCs w:val="32"/>
          <w:highlight w:val="none"/>
          <w:lang w:val="en-US" w:eastAsia="zh-CN"/>
        </w:rPr>
        <w:t>（五）</w:t>
      </w:r>
      <w:r>
        <w:rPr>
          <w:rFonts w:hint="eastAsia" w:ascii="仿宋_GB2312" w:hAnsi="仿宋_GB2312" w:cs="仿宋_GB2312"/>
          <w:color w:val="auto"/>
          <w:szCs w:val="32"/>
          <w:highlight w:val="none"/>
          <w:lang w:val="en-US" w:eastAsia="zh-CN"/>
        </w:rPr>
        <w:t>电力用户</w:t>
      </w:r>
      <w:r>
        <w:rPr>
          <w:rFonts w:hint="eastAsia" w:ascii="仿宋_GB2312" w:hAnsi="仿宋_GB2312" w:eastAsia="仿宋_GB2312" w:cs="仿宋_GB2312"/>
          <w:color w:val="auto"/>
          <w:szCs w:val="32"/>
          <w:highlight w:val="none"/>
          <w:lang w:val="en-US" w:eastAsia="zh-CN"/>
        </w:rPr>
        <w:t>申报响应负荷上限由省电力负荷管理中心参考需求响应协议容量、合同容量、历史最大负荷等综合确定</w:t>
      </w:r>
      <w:r>
        <w:rPr>
          <w:rFonts w:hint="eastAsia" w:ascii="仿宋_GB2312" w:hAnsi="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lang w:val="en-US" w:eastAsia="zh-CN"/>
        </w:rPr>
        <w:t>负荷聚合商</w:t>
      </w:r>
      <w:r>
        <w:rPr>
          <w:rFonts w:hint="eastAsia" w:ascii="仿宋_GB2312" w:hAnsi="仿宋_GB2312" w:cs="仿宋_GB2312"/>
          <w:color w:val="auto"/>
          <w:szCs w:val="32"/>
          <w:highlight w:val="none"/>
          <w:lang w:val="en-US" w:eastAsia="zh-CN"/>
        </w:rPr>
        <w:t>、虚拟电厂运营商</w:t>
      </w:r>
      <w:r>
        <w:rPr>
          <w:rFonts w:hint="eastAsia" w:ascii="仿宋_GB2312" w:hAnsi="仿宋_GB2312" w:eastAsia="仿宋_GB2312" w:cs="仿宋_GB2312"/>
          <w:color w:val="auto"/>
          <w:szCs w:val="32"/>
          <w:highlight w:val="none"/>
          <w:lang w:val="en-US" w:eastAsia="zh-CN"/>
        </w:rPr>
        <w:t>申报响应负荷上限为其代理的电力用户可申报响应负荷上限之和。</w:t>
      </w:r>
    </w:p>
    <w:p w14:paraId="2EF8964E">
      <w:pPr>
        <w:pStyle w:val="2"/>
        <w:widowControl w:val="0"/>
        <w:wordWrap/>
        <w:adjustRightInd/>
        <w:snapToGrid/>
        <w:spacing w:line="560" w:lineRule="exact"/>
        <w:textAlignment w:val="auto"/>
        <w:rPr>
          <w:rFonts w:hint="default"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二、集中竞价</w:t>
      </w:r>
    </w:p>
    <w:p w14:paraId="607E83F7">
      <w:pPr>
        <w:pStyle w:val="2"/>
        <w:widowControl w:val="0"/>
        <w:wordWrap/>
        <w:adjustRightInd/>
        <w:snapToGrid/>
        <w:spacing w:line="560" w:lineRule="exact"/>
        <w:ind w:firstLine="640"/>
        <w:textAlignment w:val="auto"/>
        <w:rPr>
          <w:rFonts w:hint="eastAsia" w:ascii="仿宋_GB2312" w:hAnsi="仿宋_GB2312" w:eastAsia="仿宋_GB2312" w:cs="仿宋_GB2312"/>
          <w:color w:val="auto"/>
          <w:szCs w:val="32"/>
          <w:highlight w:val="none"/>
          <w:lang w:val="en-US" w:eastAsia="zh-CN"/>
        </w:rPr>
      </w:pPr>
      <w:r>
        <w:rPr>
          <w:rFonts w:hint="eastAsia" w:ascii="CESI楷体-GB13000" w:hAnsi="CESI楷体-GB13000" w:eastAsia="CESI楷体-GB13000" w:cs="CESI楷体-GB13000"/>
          <w:b/>
          <w:bCs/>
          <w:color w:val="auto"/>
          <w:szCs w:val="32"/>
          <w:highlight w:val="none"/>
          <w:lang w:val="en-US" w:eastAsia="zh-CN"/>
        </w:rPr>
        <w:t>（一）</w:t>
      </w:r>
      <w:r>
        <w:rPr>
          <w:rFonts w:hint="eastAsia" w:ascii="仿宋_GB2312" w:hAnsi="仿宋_GB2312" w:eastAsia="仿宋_GB2312" w:cs="仿宋_GB2312"/>
          <w:color w:val="auto"/>
          <w:szCs w:val="32"/>
          <w:highlight w:val="none"/>
          <w:lang w:val="en-US" w:eastAsia="zh-CN"/>
        </w:rPr>
        <w:t>福建电力交易中心组织</w:t>
      </w:r>
      <w:r>
        <w:rPr>
          <w:rFonts w:hint="eastAsia" w:ascii="仿宋_GB2312" w:hAnsi="仿宋_GB2312" w:cs="仿宋_GB2312"/>
          <w:color w:val="auto"/>
          <w:szCs w:val="32"/>
          <w:highlight w:val="none"/>
          <w:lang w:val="en-US" w:eastAsia="zh-CN"/>
        </w:rPr>
        <w:t>响应主体</w:t>
      </w:r>
      <w:r>
        <w:rPr>
          <w:rFonts w:hint="eastAsia" w:ascii="仿宋_GB2312" w:hAnsi="仿宋_GB2312" w:eastAsia="仿宋_GB2312" w:cs="仿宋_GB2312"/>
          <w:color w:val="auto"/>
          <w:szCs w:val="32"/>
          <w:highlight w:val="none"/>
          <w:lang w:val="en-US" w:eastAsia="zh-CN"/>
        </w:rPr>
        <w:t>开展集中竞价，按照“边际出清”原则确定</w:t>
      </w:r>
      <w:r>
        <w:rPr>
          <w:rFonts w:hint="eastAsia" w:ascii="仿宋_GB2312" w:hAnsi="仿宋_GB2312" w:eastAsia="仿宋_GB2312" w:cs="仿宋_GB2312"/>
          <w:color w:val="auto"/>
          <w:szCs w:val="32"/>
          <w:highlight w:val="none"/>
        </w:rPr>
        <w:t>该年需求响应补贴价格</w:t>
      </w:r>
      <w:r>
        <w:rPr>
          <w:rFonts w:hint="eastAsia" w:ascii="仿宋_GB2312" w:hAnsi="仿宋_GB2312" w:eastAsia="仿宋_GB2312" w:cs="仿宋_GB2312"/>
          <w:color w:val="auto"/>
          <w:szCs w:val="32"/>
          <w:highlight w:val="none"/>
          <w:lang w:eastAsia="zh-CN"/>
        </w:rPr>
        <w:t>。</w:t>
      </w:r>
    </w:p>
    <w:p w14:paraId="42B2EF65">
      <w:pPr>
        <w:pStyle w:val="2"/>
        <w:widowControl w:val="0"/>
        <w:wordWrap/>
        <w:adjustRightInd/>
        <w:snapToGrid/>
        <w:spacing w:line="560" w:lineRule="exact"/>
        <w:ind w:firstLine="643"/>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b w:val="0"/>
          <w:bCs w:val="0"/>
          <w:color w:val="auto"/>
          <w:szCs w:val="32"/>
          <w:highlight w:val="none"/>
        </w:rPr>
        <w:t>边际出清：</w:t>
      </w:r>
      <w:r>
        <w:rPr>
          <w:rFonts w:hint="eastAsia" w:ascii="仿宋_GB2312" w:hAnsi="仿宋_GB2312" w:eastAsia="仿宋_GB2312" w:cs="仿宋_GB2312"/>
          <w:color w:val="auto"/>
          <w:szCs w:val="32"/>
          <w:highlight w:val="none"/>
        </w:rPr>
        <w:t>对响应主体按申报价格由低到高（第一原则）、</w:t>
      </w:r>
      <w:r>
        <w:rPr>
          <w:rFonts w:hint="eastAsia" w:ascii="仿宋_GB2312" w:hAnsi="仿宋_GB2312" w:cs="仿宋_GB2312"/>
          <w:color w:val="auto"/>
          <w:szCs w:val="32"/>
          <w:highlight w:val="none"/>
          <w:lang w:eastAsia="zh-CN"/>
        </w:rPr>
        <w:t>申报</w:t>
      </w:r>
      <w:r>
        <w:rPr>
          <w:rFonts w:hint="eastAsia" w:ascii="仿宋_GB2312" w:hAnsi="仿宋_GB2312" w:eastAsia="仿宋_GB2312" w:cs="仿宋_GB2312"/>
          <w:color w:val="auto"/>
          <w:szCs w:val="32"/>
          <w:highlight w:val="none"/>
        </w:rPr>
        <w:t>负荷由大到小（第二原则）、</w:t>
      </w:r>
      <w:r>
        <w:rPr>
          <w:rFonts w:hint="eastAsia" w:ascii="仿宋_GB2312" w:hAnsi="仿宋_GB2312" w:cs="仿宋_GB2312"/>
          <w:color w:val="auto"/>
          <w:szCs w:val="32"/>
          <w:highlight w:val="none"/>
          <w:lang w:eastAsia="zh-CN"/>
        </w:rPr>
        <w:t>申报</w:t>
      </w:r>
      <w:r>
        <w:rPr>
          <w:rFonts w:hint="eastAsia" w:ascii="仿宋_GB2312" w:hAnsi="仿宋_GB2312" w:eastAsia="仿宋_GB2312" w:cs="仿宋_GB2312"/>
          <w:color w:val="auto"/>
          <w:szCs w:val="32"/>
          <w:highlight w:val="none"/>
        </w:rPr>
        <w:t>时间由早到晚（第三原则）的规则排序，排序靠前的主体优先竞价成功，其申报响应负荷计入负荷资源池，直至</w:t>
      </w:r>
      <w:r>
        <w:rPr>
          <w:rFonts w:hint="eastAsia" w:ascii="仿宋_GB2312" w:hAnsi="仿宋_GB2312" w:eastAsia="仿宋_GB2312" w:cs="仿宋_GB2312"/>
          <w:color w:val="auto"/>
          <w:szCs w:val="32"/>
          <w:highlight w:val="none"/>
          <w:lang w:val="en-US" w:eastAsia="zh-CN"/>
        </w:rPr>
        <w:t>申报</w:t>
      </w:r>
      <w:r>
        <w:rPr>
          <w:rFonts w:hint="eastAsia" w:ascii="仿宋_GB2312" w:hAnsi="仿宋_GB2312" w:eastAsia="仿宋_GB2312" w:cs="仿宋_GB2312"/>
          <w:color w:val="auto"/>
          <w:szCs w:val="32"/>
          <w:highlight w:val="none"/>
        </w:rPr>
        <w:t>响应负荷累计值覆盖年度供电缺口或反馈用户全部排序完毕为止，最后竞价成功</w:t>
      </w:r>
      <w:r>
        <w:rPr>
          <w:rFonts w:hint="eastAsia" w:ascii="仿宋_GB2312" w:hAnsi="仿宋_GB2312" w:eastAsia="仿宋_GB2312" w:cs="仿宋_GB2312"/>
          <w:color w:val="auto"/>
          <w:szCs w:val="32"/>
          <w:highlight w:val="none"/>
          <w:lang w:val="en-US" w:eastAsia="zh-CN"/>
        </w:rPr>
        <w:t>主体</w:t>
      </w:r>
      <w:r>
        <w:rPr>
          <w:rFonts w:hint="eastAsia" w:ascii="仿宋_GB2312" w:hAnsi="仿宋_GB2312" w:eastAsia="仿宋_GB2312" w:cs="仿宋_GB2312"/>
          <w:color w:val="auto"/>
          <w:szCs w:val="32"/>
          <w:highlight w:val="none"/>
        </w:rPr>
        <w:t>的申报价格即为边际出清价格，实际响应时统一按照边际出清价格结算补贴。</w:t>
      </w:r>
    </w:p>
    <w:p w14:paraId="56D9F940">
      <w:pPr>
        <w:pStyle w:val="2"/>
        <w:widowControl w:val="0"/>
        <w:wordWrap/>
        <w:adjustRightInd/>
        <w:snapToGrid/>
        <w:spacing w:line="560" w:lineRule="exact"/>
        <w:ind w:firstLine="640"/>
        <w:textAlignment w:val="auto"/>
        <w:rPr>
          <w:rFonts w:hint="eastAsia" w:ascii="仿宋_GB2312" w:hAnsi="仿宋_GB2312" w:eastAsia="仿宋_GB2312" w:cs="仿宋_GB2312"/>
          <w:color w:val="auto"/>
          <w:szCs w:val="32"/>
          <w:highlight w:val="none"/>
        </w:rPr>
      </w:pPr>
      <w:r>
        <w:rPr>
          <w:rFonts w:hint="eastAsia" w:ascii="CESI楷体-GB13000" w:hAnsi="CESI楷体-GB13000" w:eastAsia="CESI楷体-GB13000" w:cs="CESI楷体-GB13000"/>
          <w:b/>
          <w:bCs/>
          <w:color w:val="auto"/>
          <w:szCs w:val="32"/>
          <w:highlight w:val="none"/>
          <w:lang w:val="en-US" w:eastAsia="zh-CN"/>
        </w:rPr>
        <w:t>（二）</w:t>
      </w:r>
      <w:r>
        <w:rPr>
          <w:rFonts w:hint="eastAsia" w:ascii="仿宋_GB2312" w:hAnsi="仿宋_GB2312" w:eastAsia="仿宋_GB2312" w:cs="仿宋_GB2312"/>
          <w:color w:val="auto"/>
          <w:szCs w:val="32"/>
          <w:highlight w:val="none"/>
          <w:lang w:val="en-US" w:eastAsia="zh-CN"/>
        </w:rPr>
        <w:t>竞价结束后5个工作日内，福建电力交易中心会同省电力负荷管理中心在电力交易平台对竞价出清结果予以</w:t>
      </w:r>
      <w:r>
        <w:rPr>
          <w:rFonts w:hint="eastAsia" w:ascii="仿宋_GB2312" w:hAnsi="仿宋_GB2312" w:cs="仿宋_GB2312"/>
          <w:color w:val="auto"/>
          <w:szCs w:val="32"/>
          <w:highlight w:val="none"/>
          <w:lang w:val="en-US" w:eastAsia="zh-CN"/>
        </w:rPr>
        <w:t>发布</w:t>
      </w:r>
      <w:r>
        <w:rPr>
          <w:rFonts w:hint="eastAsia" w:ascii="仿宋_GB2312" w:hAnsi="仿宋_GB2312" w:eastAsia="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rPr>
        <w:t>响应主体可通过电力市场交易平台查询竞价出清结果。</w:t>
      </w:r>
    </w:p>
    <w:p w14:paraId="7EEEDE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CESI楷体-GB13000">
    <w:altName w:val="楷体"/>
    <w:panose1 w:val="02000500000000000000"/>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Njc4OTQwNzE0YmYyZmZhNjA3Y2ZlMDU1Mjc2OGQifQ=="/>
  </w:docVars>
  <w:rsids>
    <w:rsidRoot w:val="049455F2"/>
    <w:rsid w:val="0494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 Char1 Char Char Char Char Char Char"/>
    <w:basedOn w:val="1"/>
    <w:next w:val="1"/>
    <w:qFormat/>
    <w:uiPriority w:val="0"/>
    <w:rPr>
      <w:rFonts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2024-07-23T02:40:00Z</dcterms:created>
  <dc:creator>WPS_1661499108</dc:creator>
  <cp:lastModifiedBy>WPS_1661499108</cp:lastModifiedBy>
  <dcterms:modified xsi:type="dcterms:W3CDTF">2024-07-23T02:40:38Z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4C5A5257C6174A939982F730B62731BD_11</vt:lpwstr>
  </property>
</Properties>
</file>